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sz w:val="32"/>
          <w:szCs w:val="32"/>
        </w:rPr>
      </w:pPr>
      <w:r>
        <w:rPr>
          <w:rFonts w:hint="eastAsia"/>
          <w:sz w:val="32"/>
          <w:szCs w:val="32"/>
        </w:rPr>
        <w:t>蒋王泵站集装箱办公用房及其配套采购项目招标文件</w:t>
      </w:r>
    </w:p>
    <w:p>
      <w:pPr>
        <w:spacing w:line="360" w:lineRule="auto"/>
        <w:rPr>
          <w:rFonts w:asciiTheme="minorEastAsia" w:hAnsiTheme="minorEastAsia"/>
          <w:sz w:val="24"/>
          <w:szCs w:val="24"/>
        </w:rPr>
      </w:pPr>
      <w:r>
        <w:rPr>
          <w:rFonts w:hint="eastAsia" w:asciiTheme="minorEastAsia" w:hAnsiTheme="minorEastAsia"/>
          <w:sz w:val="24"/>
          <w:szCs w:val="24"/>
        </w:rPr>
        <w:t xml:space="preserve">    根据我公司办公条件的需要，现需对蒋王泵站集装箱办公用房及其配套进行采购，具体内容如下：</w:t>
      </w:r>
    </w:p>
    <w:p>
      <w:pPr>
        <w:spacing w:line="360" w:lineRule="auto"/>
        <w:rPr>
          <w:rFonts w:asciiTheme="minorEastAsia" w:hAnsiTheme="minorEastAsia"/>
          <w:sz w:val="24"/>
          <w:szCs w:val="24"/>
        </w:rPr>
      </w:pPr>
      <w:r>
        <w:rPr>
          <w:rFonts w:hint="eastAsia" w:asciiTheme="minorEastAsia" w:hAnsiTheme="minorEastAsia"/>
          <w:sz w:val="24"/>
          <w:szCs w:val="24"/>
        </w:rPr>
        <w:t>一、项目概况</w:t>
      </w:r>
    </w:p>
    <w:p>
      <w:pPr>
        <w:spacing w:line="360" w:lineRule="auto"/>
        <w:rPr>
          <w:rFonts w:asciiTheme="minorEastAsia" w:hAnsiTheme="minorEastAsia"/>
          <w:sz w:val="24"/>
          <w:szCs w:val="24"/>
        </w:rPr>
      </w:pPr>
      <w:r>
        <w:rPr>
          <w:rFonts w:hint="eastAsia" w:asciiTheme="minorEastAsia" w:hAnsiTheme="minorEastAsia"/>
          <w:sz w:val="24"/>
          <w:szCs w:val="24"/>
        </w:rPr>
        <w:t xml:space="preserve">    1.1招标人：扬州市政管网有限公司</w:t>
      </w:r>
    </w:p>
    <w:p>
      <w:pPr>
        <w:spacing w:line="360" w:lineRule="auto"/>
        <w:rPr>
          <w:rFonts w:asciiTheme="minorEastAsia" w:hAnsiTheme="minorEastAsia"/>
          <w:sz w:val="24"/>
          <w:szCs w:val="24"/>
        </w:rPr>
      </w:pPr>
      <w:r>
        <w:rPr>
          <w:rFonts w:hint="eastAsia" w:asciiTheme="minorEastAsia" w:hAnsiTheme="minorEastAsia"/>
          <w:sz w:val="24"/>
          <w:szCs w:val="24"/>
        </w:rPr>
        <w:t xml:space="preserve">    1.2项目名称：蒋王泵站集装箱办公用房及其配套采购项目</w:t>
      </w:r>
    </w:p>
    <w:p>
      <w:pPr>
        <w:spacing w:line="360" w:lineRule="auto"/>
        <w:rPr>
          <w:rFonts w:asciiTheme="minorEastAsia" w:hAnsiTheme="minorEastAsia"/>
          <w:sz w:val="24"/>
          <w:szCs w:val="24"/>
        </w:rPr>
      </w:pPr>
      <w:r>
        <w:rPr>
          <w:rFonts w:hint="eastAsia" w:asciiTheme="minorEastAsia" w:hAnsiTheme="minorEastAsia"/>
          <w:sz w:val="24"/>
          <w:szCs w:val="24"/>
        </w:rPr>
        <w:t xml:space="preserve">    1.3项目地点：蒋王泵站</w:t>
      </w:r>
    </w:p>
    <w:p>
      <w:pPr>
        <w:spacing w:line="360" w:lineRule="auto"/>
        <w:rPr>
          <w:rFonts w:asciiTheme="minorEastAsia" w:hAnsiTheme="minorEastAsia"/>
          <w:sz w:val="24"/>
          <w:szCs w:val="24"/>
        </w:rPr>
      </w:pPr>
      <w:r>
        <w:rPr>
          <w:rFonts w:hint="eastAsia" w:asciiTheme="minorEastAsia" w:hAnsiTheme="minorEastAsia"/>
          <w:sz w:val="24"/>
          <w:szCs w:val="24"/>
        </w:rPr>
        <w:t xml:space="preserve">    1.4采购内容：集装箱办公用房及其配套。（明细见附表）</w:t>
      </w:r>
    </w:p>
    <w:p>
      <w:pPr>
        <w:spacing w:line="360" w:lineRule="auto"/>
        <w:rPr>
          <w:rFonts w:asciiTheme="minorEastAsia" w:hAnsiTheme="minorEastAsia"/>
          <w:sz w:val="24"/>
          <w:szCs w:val="24"/>
        </w:rPr>
      </w:pPr>
      <w:r>
        <w:rPr>
          <w:rFonts w:hint="eastAsia" w:asciiTheme="minorEastAsia" w:hAnsiTheme="minorEastAsia"/>
          <w:sz w:val="24"/>
          <w:szCs w:val="24"/>
        </w:rPr>
        <w:t xml:space="preserve">    1.5采购范围：集装箱办公用房及其配套的采购和安装。</w:t>
      </w:r>
    </w:p>
    <w:p>
      <w:pPr>
        <w:spacing w:line="360" w:lineRule="auto"/>
        <w:rPr>
          <w:rFonts w:ascii="宋体" w:hAnsi="宋体" w:cs="宋体"/>
          <w:sz w:val="24"/>
          <w:szCs w:val="24"/>
        </w:rPr>
      </w:pPr>
      <w:r>
        <w:rPr>
          <w:rFonts w:hint="eastAsia" w:ascii="宋体" w:hAnsi="宋体" w:cs="宋体"/>
          <w:sz w:val="24"/>
          <w:szCs w:val="24"/>
        </w:rPr>
        <w:t>二、时间要求：</w:t>
      </w:r>
    </w:p>
    <w:p>
      <w:pPr>
        <w:pStyle w:val="7"/>
        <w:shd w:val="clear" w:color="auto" w:fill="FFFFFF"/>
        <w:spacing w:before="0" w:beforeAutospacing="0" w:after="0" w:afterAutospacing="0" w:line="360" w:lineRule="auto"/>
        <w:ind w:firstLine="450"/>
        <w:rPr>
          <w:rFonts w:hint="eastAsia" w:ascii="宋体" w:hAnsi="宋体"/>
        </w:rPr>
      </w:pPr>
      <w:r>
        <w:rPr>
          <w:rFonts w:hint="eastAsia"/>
        </w:rPr>
        <w:t>10日历天到货并安装完成。</w:t>
      </w:r>
    </w:p>
    <w:p>
      <w:pPr>
        <w:spacing w:line="360" w:lineRule="auto"/>
        <w:rPr>
          <w:rFonts w:hint="eastAsia" w:asciiTheme="minorEastAsia" w:hAnsiTheme="minorEastAsia"/>
          <w:sz w:val="24"/>
          <w:szCs w:val="24"/>
        </w:rPr>
      </w:pPr>
      <w:r>
        <w:rPr>
          <w:rFonts w:hint="eastAsia" w:asciiTheme="minorEastAsia" w:hAnsiTheme="minorEastAsia"/>
          <w:sz w:val="24"/>
          <w:szCs w:val="24"/>
        </w:rPr>
        <w:t>三、报价形式：</w:t>
      </w:r>
    </w:p>
    <w:p>
      <w:pPr>
        <w:spacing w:line="360" w:lineRule="auto"/>
        <w:rPr>
          <w:rFonts w:asciiTheme="minorEastAsia" w:hAnsiTheme="minorEastAsia"/>
          <w:sz w:val="24"/>
          <w:szCs w:val="24"/>
        </w:rPr>
      </w:pPr>
      <w:r>
        <w:rPr>
          <w:rFonts w:hint="eastAsia" w:asciiTheme="minorEastAsia" w:hAnsiTheme="minorEastAsia"/>
          <w:sz w:val="24"/>
          <w:szCs w:val="24"/>
        </w:rPr>
        <w:t xml:space="preserve">    报价函以清单形式报价并汇总价。报价</w:t>
      </w:r>
      <w:r>
        <w:rPr>
          <w:rFonts w:asciiTheme="minorEastAsia" w:hAnsiTheme="minorEastAsia"/>
          <w:sz w:val="24"/>
          <w:szCs w:val="24"/>
        </w:rPr>
        <w:t>为到货</w:t>
      </w:r>
      <w:r>
        <w:rPr>
          <w:rFonts w:hint="eastAsia" w:asciiTheme="minorEastAsia" w:hAnsiTheme="minorEastAsia"/>
          <w:sz w:val="24"/>
          <w:szCs w:val="24"/>
        </w:rPr>
        <w:t>含税</w:t>
      </w:r>
      <w:r>
        <w:rPr>
          <w:rFonts w:asciiTheme="minorEastAsia" w:hAnsiTheme="minorEastAsia"/>
          <w:sz w:val="24"/>
          <w:szCs w:val="24"/>
        </w:rPr>
        <w:t>价，且是综合单价</w:t>
      </w:r>
      <w:r>
        <w:rPr>
          <w:rFonts w:hint="eastAsia" w:asciiTheme="minorEastAsia" w:hAnsiTheme="minorEastAsia"/>
          <w:sz w:val="24"/>
          <w:szCs w:val="24"/>
        </w:rPr>
        <w:t>，</w:t>
      </w:r>
      <w:r>
        <w:rPr>
          <w:rFonts w:asciiTheme="minorEastAsia" w:hAnsiTheme="minorEastAsia"/>
          <w:sz w:val="24"/>
          <w:szCs w:val="24"/>
        </w:rPr>
        <w:t>含运费、装卸费、保险费(如有)、税款</w:t>
      </w:r>
      <w:r>
        <w:rPr>
          <w:rFonts w:hint="eastAsia" w:asciiTheme="minorEastAsia" w:hAnsiTheme="minorEastAsia"/>
          <w:sz w:val="24"/>
          <w:szCs w:val="24"/>
        </w:rPr>
        <w:t>（增值税税率为：13</w:t>
      </w:r>
      <w:r>
        <w:rPr>
          <w:rFonts w:asciiTheme="minorEastAsia" w:hAnsiTheme="minorEastAsia"/>
          <w:sz w:val="24"/>
          <w:szCs w:val="24"/>
        </w:rPr>
        <w:t>%</w:t>
      </w:r>
      <w:r>
        <w:rPr>
          <w:rFonts w:hint="eastAsia" w:asciiTheme="minorEastAsia" w:hAnsiTheme="minorEastAsia"/>
          <w:sz w:val="24"/>
          <w:szCs w:val="24"/>
        </w:rPr>
        <w:t>）。</w:t>
      </w:r>
    </w:p>
    <w:p>
      <w:pPr>
        <w:spacing w:line="360" w:lineRule="auto"/>
        <w:rPr>
          <w:rFonts w:hint="eastAsia" w:asciiTheme="minorEastAsia" w:hAnsiTheme="minorEastAsia"/>
          <w:sz w:val="24"/>
          <w:szCs w:val="24"/>
        </w:rPr>
      </w:pPr>
      <w:r>
        <w:rPr>
          <w:rFonts w:hint="eastAsia" w:asciiTheme="minorEastAsia" w:hAnsiTheme="minorEastAsia"/>
          <w:sz w:val="24"/>
          <w:szCs w:val="24"/>
        </w:rPr>
        <w:t>四、结算方式：</w:t>
      </w:r>
    </w:p>
    <w:p>
      <w:pPr>
        <w:spacing w:line="360" w:lineRule="auto"/>
        <w:rPr>
          <w:rFonts w:asciiTheme="minorEastAsia" w:hAnsiTheme="minorEastAsia"/>
          <w:sz w:val="24"/>
          <w:szCs w:val="24"/>
        </w:rPr>
      </w:pPr>
      <w:r>
        <w:rPr>
          <w:rFonts w:hint="eastAsia" w:asciiTheme="minorEastAsia" w:hAnsiTheme="minorEastAsia"/>
          <w:sz w:val="24"/>
          <w:szCs w:val="24"/>
        </w:rPr>
        <w:t xml:space="preserve">    固定总价。</w:t>
      </w:r>
    </w:p>
    <w:p>
      <w:pPr>
        <w:spacing w:line="360" w:lineRule="auto"/>
        <w:rPr>
          <w:rFonts w:hint="eastAsia" w:asciiTheme="minorEastAsia" w:hAnsiTheme="minorEastAsia"/>
          <w:sz w:val="24"/>
          <w:szCs w:val="24"/>
        </w:rPr>
      </w:pPr>
      <w:r>
        <w:rPr>
          <w:rFonts w:hint="eastAsia" w:asciiTheme="minorEastAsia" w:hAnsiTheme="minorEastAsia"/>
          <w:sz w:val="24"/>
          <w:szCs w:val="24"/>
        </w:rPr>
        <w:t>五、最高限价：</w:t>
      </w:r>
    </w:p>
    <w:p>
      <w:pPr>
        <w:spacing w:line="360" w:lineRule="auto"/>
        <w:rPr>
          <w:rFonts w:hint="eastAsia"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u w:val="single"/>
        </w:rPr>
        <w:t xml:space="preserve"> 19.9 </w:t>
      </w:r>
      <w:r>
        <w:rPr>
          <w:rFonts w:hint="eastAsia" w:asciiTheme="minorEastAsia" w:hAnsiTheme="minorEastAsia"/>
          <w:sz w:val="24"/>
          <w:szCs w:val="24"/>
        </w:rPr>
        <w:t>万元，超过最高限价做废标处理。</w:t>
      </w:r>
    </w:p>
    <w:p>
      <w:pPr>
        <w:spacing w:line="360" w:lineRule="auto"/>
        <w:rPr>
          <w:rFonts w:asciiTheme="minorEastAsia" w:hAnsiTheme="minorEastAsia"/>
          <w:sz w:val="24"/>
          <w:szCs w:val="24"/>
        </w:rPr>
      </w:pPr>
      <w:r>
        <w:rPr>
          <w:rFonts w:hint="eastAsia" w:asciiTheme="minorEastAsia" w:hAnsiTheme="minorEastAsia"/>
          <w:sz w:val="24"/>
          <w:szCs w:val="24"/>
        </w:rPr>
        <w:t>六、比选方式及原则</w:t>
      </w:r>
    </w:p>
    <w:p>
      <w:pPr>
        <w:pStyle w:val="7"/>
        <w:shd w:val="clear" w:color="auto" w:fill="FFFFFF"/>
        <w:spacing w:before="0" w:beforeAutospacing="0" w:after="0" w:afterAutospacing="0" w:line="360" w:lineRule="auto"/>
        <w:ind w:firstLine="450"/>
      </w:pPr>
      <w:r>
        <w:rPr>
          <w:rFonts w:hint="eastAsia"/>
        </w:rPr>
        <w:t>6.1投标文件收到后，由我公司评标小组对投标文件进行评选，采用综合评分法确定中标单位。若招标文件发布次数达到两次，且潜在的投标人少于三家，则招标人有权进行竞争性谈判或议价确定中标单位。</w:t>
      </w:r>
    </w:p>
    <w:p>
      <w:pPr>
        <w:pStyle w:val="7"/>
        <w:shd w:val="clear" w:color="auto" w:fill="FFFFFF"/>
        <w:spacing w:before="0" w:beforeAutospacing="0" w:after="0" w:afterAutospacing="0" w:line="360" w:lineRule="auto"/>
        <w:ind w:firstLine="450"/>
      </w:pPr>
      <w:r>
        <w:rPr>
          <w:rFonts w:hint="eastAsia"/>
        </w:rPr>
        <w:t>6.2具体评分标准如下: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7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评分项目</w:t>
            </w:r>
          </w:p>
        </w:tc>
        <w:tc>
          <w:tcPr>
            <w:tcW w:w="7280"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投标报价</w:t>
            </w:r>
          </w:p>
          <w:p>
            <w:pPr>
              <w:autoSpaceDE w:val="0"/>
              <w:autoSpaceDN w:val="0"/>
              <w:adjustRightInd w:val="0"/>
              <w:spacing w:line="400" w:lineRule="exact"/>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0分）</w:t>
            </w:r>
          </w:p>
        </w:tc>
        <w:tc>
          <w:tcPr>
            <w:tcW w:w="7280" w:type="dxa"/>
            <w:vAlign w:val="center"/>
          </w:tcPr>
          <w:p>
            <w:pPr>
              <w:autoSpaceDE w:val="0"/>
              <w:autoSpaceDN w:val="0"/>
              <w:adjustRightInd w:val="0"/>
              <w:spacing w:line="360" w:lineRule="auto"/>
              <w:rPr>
                <w:rFonts w:ascii="宋体" w:hAnsi="宋体" w:cs="宋体"/>
              </w:rPr>
            </w:pPr>
            <w:r>
              <w:rPr>
                <w:rFonts w:hint="eastAsia" w:ascii="宋体" w:hAnsi="宋体" w:cs="宋体"/>
              </w:rPr>
              <w:t>当有效投标人＜5家时，取所有有效投标人评标价的算术平均值作为评标基准价；当有效投标人≥5家时，去掉一个最高价和一个最低价，其余所有有效投标人评标价的算术平均值作为评标基准价。投标报价与基准价相比的偏差率，每高于评标基准价1%扣0.</w:t>
            </w:r>
            <w:r>
              <w:rPr>
                <w:rFonts w:hint="eastAsia" w:ascii="宋体" w:hAnsi="宋体" w:cs="宋体"/>
                <w:lang w:val="en-US" w:eastAsia="zh-CN"/>
              </w:rPr>
              <w:t>6</w:t>
            </w:r>
            <w:r>
              <w:rPr>
                <w:rFonts w:hint="eastAsia" w:ascii="宋体" w:hAnsi="宋体" w:cs="宋体"/>
              </w:rPr>
              <w:t>分，每低于评标基准价1%扣0.</w:t>
            </w:r>
            <w:r>
              <w:rPr>
                <w:rFonts w:hint="eastAsia" w:ascii="宋体" w:hAnsi="宋体" w:cs="宋体"/>
                <w:lang w:val="en-US" w:eastAsia="zh-CN"/>
              </w:rPr>
              <w:t>4</w:t>
            </w:r>
            <w:r>
              <w:rPr>
                <w:rFonts w:hint="eastAsia" w:ascii="宋体" w:hAnsi="宋体" w:cs="宋体"/>
              </w:rPr>
              <w:t>分，不足1%按插入法计算。（保留小数点后两位）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autoSpaceDE w:val="0"/>
              <w:autoSpaceDN w:val="0"/>
              <w:adjustRightInd w:val="0"/>
              <w:spacing w:line="400" w:lineRule="exact"/>
              <w:jc w:val="center"/>
              <w:rPr>
                <w:rFonts w:hint="eastAsia" w:ascii="宋体" w:hAnsi="宋体" w:cs="宋体"/>
              </w:rPr>
            </w:pPr>
            <w:r>
              <w:rPr>
                <w:rFonts w:hint="eastAsia" w:ascii="宋体" w:hAnsi="宋体" w:cs="宋体"/>
              </w:rPr>
              <w:t>设计施工方案</w:t>
            </w:r>
          </w:p>
          <w:p>
            <w:pPr>
              <w:autoSpaceDE w:val="0"/>
              <w:autoSpaceDN w:val="0"/>
              <w:adjustRightInd w:val="0"/>
              <w:spacing w:line="400" w:lineRule="exact"/>
              <w:jc w:val="center"/>
              <w:rPr>
                <w:rFonts w:ascii="宋体" w:hAnsi="宋体" w:cs="宋体"/>
              </w:rPr>
            </w:pPr>
            <w:r>
              <w:rPr>
                <w:rFonts w:hint="eastAsia" w:ascii="宋体" w:hAnsi="宋体" w:cs="宋体"/>
              </w:rPr>
              <w:t>（</w:t>
            </w:r>
            <w:r>
              <w:rPr>
                <w:rFonts w:hint="eastAsia" w:ascii="宋体" w:hAnsi="宋体" w:cs="宋体"/>
                <w:lang w:val="en-US" w:eastAsia="zh-CN"/>
              </w:rPr>
              <w:t>3</w:t>
            </w:r>
            <w:r>
              <w:rPr>
                <w:rFonts w:hint="eastAsia" w:ascii="宋体" w:hAnsi="宋体" w:cs="宋体"/>
              </w:rPr>
              <w:t>0分）</w:t>
            </w:r>
          </w:p>
        </w:tc>
        <w:tc>
          <w:tcPr>
            <w:tcW w:w="7280" w:type="dxa"/>
            <w:vAlign w:val="center"/>
          </w:tcPr>
          <w:p>
            <w:pPr>
              <w:widowControl/>
              <w:adjustRightInd w:val="0"/>
              <w:snapToGrid w:val="0"/>
              <w:spacing w:line="360" w:lineRule="auto"/>
              <w:rPr>
                <w:szCs w:val="21"/>
              </w:rPr>
            </w:pPr>
            <w:r>
              <w:rPr>
                <w:rFonts w:hint="eastAsia"/>
                <w:szCs w:val="21"/>
              </w:rPr>
              <w:t>1、根据泵站环境的特殊性，制定安全可靠的施工方案，包括安全投入，人员安全培训，安全管理等。措施合理、方案科学有效、针对性强得</w:t>
            </w:r>
            <w:r>
              <w:rPr>
                <w:rFonts w:hint="eastAsia"/>
                <w:szCs w:val="21"/>
                <w:lang w:val="en-US" w:eastAsia="zh-CN"/>
              </w:rPr>
              <w:t>7</w:t>
            </w:r>
            <w:r>
              <w:rPr>
                <w:rFonts w:hint="eastAsia"/>
                <w:szCs w:val="21"/>
              </w:rPr>
              <w:t>-</w:t>
            </w:r>
            <w:r>
              <w:rPr>
                <w:rFonts w:hint="eastAsia"/>
                <w:szCs w:val="21"/>
                <w:lang w:val="en-US" w:eastAsia="zh-CN"/>
              </w:rPr>
              <w:t>10</w:t>
            </w:r>
            <w:r>
              <w:rPr>
                <w:rFonts w:hint="eastAsia"/>
                <w:szCs w:val="21"/>
              </w:rPr>
              <w:t>分</w:t>
            </w:r>
            <w:r>
              <w:rPr>
                <w:rFonts w:hint="eastAsia"/>
                <w:szCs w:val="21"/>
                <w:lang w:eastAsia="zh-CN"/>
              </w:rPr>
              <w:t>；</w:t>
            </w:r>
            <w:r>
              <w:rPr>
                <w:rFonts w:hint="eastAsia"/>
                <w:szCs w:val="21"/>
              </w:rPr>
              <w:t>措施相对合理、方案科学有效性一般、针对性一般得</w:t>
            </w:r>
            <w:r>
              <w:rPr>
                <w:rFonts w:hint="eastAsia"/>
                <w:szCs w:val="21"/>
                <w:lang w:val="en-US" w:eastAsia="zh-CN"/>
              </w:rPr>
              <w:t>4</w:t>
            </w:r>
            <w:r>
              <w:rPr>
                <w:rFonts w:hint="eastAsia"/>
                <w:szCs w:val="21"/>
              </w:rPr>
              <w:t>-</w:t>
            </w:r>
            <w:r>
              <w:rPr>
                <w:rFonts w:hint="eastAsia"/>
                <w:szCs w:val="21"/>
                <w:lang w:val="en-US" w:eastAsia="zh-CN"/>
              </w:rPr>
              <w:t>6</w:t>
            </w:r>
            <w:r>
              <w:rPr>
                <w:rFonts w:hint="eastAsia"/>
                <w:szCs w:val="21"/>
              </w:rPr>
              <w:t>分</w:t>
            </w:r>
            <w:r>
              <w:rPr>
                <w:rFonts w:hint="eastAsia"/>
                <w:szCs w:val="21"/>
                <w:lang w:eastAsia="zh-CN"/>
              </w:rPr>
              <w:t>；</w:t>
            </w:r>
            <w:r>
              <w:rPr>
                <w:rFonts w:hint="eastAsia"/>
                <w:szCs w:val="21"/>
              </w:rPr>
              <w:t>措施不合理、方案科学有效性较弱、针对性弱、较差得1-</w:t>
            </w:r>
            <w:r>
              <w:rPr>
                <w:rFonts w:hint="eastAsia"/>
                <w:szCs w:val="21"/>
                <w:lang w:val="en-US" w:eastAsia="zh-CN"/>
              </w:rPr>
              <w:t>3</w:t>
            </w:r>
            <w:r>
              <w:rPr>
                <w:rFonts w:hint="eastAsia"/>
                <w:szCs w:val="21"/>
              </w:rPr>
              <w:t>分</w:t>
            </w:r>
            <w:r>
              <w:rPr>
                <w:rFonts w:hint="eastAsia"/>
                <w:szCs w:val="21"/>
                <w:lang w:eastAsia="zh-CN"/>
              </w:rPr>
              <w:t>；</w:t>
            </w:r>
            <w:r>
              <w:rPr>
                <w:rFonts w:hint="eastAsia"/>
                <w:lang w:eastAsia="zh-CN"/>
              </w:rPr>
              <w:t>未提供不得分。</w:t>
            </w:r>
          </w:p>
          <w:p>
            <w:pPr>
              <w:widowControl/>
              <w:adjustRightInd w:val="0"/>
              <w:snapToGrid w:val="0"/>
              <w:spacing w:line="360" w:lineRule="auto"/>
              <w:rPr>
                <w:rFonts w:hint="eastAsia"/>
                <w:szCs w:val="21"/>
                <w:lang w:eastAsia="zh-CN"/>
              </w:rPr>
            </w:pPr>
            <w:r>
              <w:rPr>
                <w:rFonts w:hint="eastAsia"/>
              </w:rPr>
              <w:t>2、根据甲方实际使用需求进行评分。产品设计方案科学合理、优秀、针对性强得</w:t>
            </w:r>
            <w:r>
              <w:rPr>
                <w:rFonts w:hint="eastAsia"/>
                <w:lang w:val="en-US" w:eastAsia="zh-CN"/>
              </w:rPr>
              <w:t>7</w:t>
            </w:r>
            <w:r>
              <w:rPr>
                <w:rFonts w:hint="eastAsia"/>
              </w:rPr>
              <w:t>-</w:t>
            </w:r>
            <w:r>
              <w:rPr>
                <w:rFonts w:hint="eastAsia"/>
                <w:lang w:val="en-US" w:eastAsia="zh-CN"/>
              </w:rPr>
              <w:t>10</w:t>
            </w:r>
            <w:r>
              <w:rPr>
                <w:rFonts w:hint="eastAsia"/>
              </w:rPr>
              <w:t>分</w:t>
            </w:r>
            <w:r>
              <w:rPr>
                <w:rFonts w:hint="eastAsia"/>
                <w:lang w:eastAsia="zh-CN"/>
              </w:rPr>
              <w:t>；</w:t>
            </w:r>
            <w:r>
              <w:rPr>
                <w:rFonts w:hint="eastAsia"/>
              </w:rPr>
              <w:t>方案针对性不强、基本可行得</w:t>
            </w:r>
            <w:r>
              <w:rPr>
                <w:rFonts w:hint="eastAsia"/>
                <w:lang w:val="en-US" w:eastAsia="zh-CN"/>
              </w:rPr>
              <w:t>4</w:t>
            </w:r>
            <w:r>
              <w:rPr>
                <w:rFonts w:hint="eastAsia"/>
              </w:rPr>
              <w:t>-</w:t>
            </w:r>
            <w:r>
              <w:rPr>
                <w:rFonts w:hint="eastAsia"/>
                <w:lang w:val="en-US" w:eastAsia="zh-CN"/>
              </w:rPr>
              <w:t>6</w:t>
            </w:r>
            <w:r>
              <w:rPr>
                <w:rFonts w:hint="eastAsia"/>
              </w:rPr>
              <w:t>分</w:t>
            </w:r>
            <w:r>
              <w:rPr>
                <w:rFonts w:hint="eastAsia"/>
                <w:lang w:eastAsia="zh-CN"/>
              </w:rPr>
              <w:t>；</w:t>
            </w:r>
            <w:r>
              <w:rPr>
                <w:rFonts w:hint="eastAsia"/>
              </w:rPr>
              <w:t>方案针对性弱、较差得</w:t>
            </w:r>
            <w:r>
              <w:rPr>
                <w:rFonts w:hint="eastAsia"/>
                <w:szCs w:val="21"/>
              </w:rPr>
              <w:t>1-</w:t>
            </w:r>
            <w:r>
              <w:rPr>
                <w:rFonts w:hint="eastAsia"/>
                <w:szCs w:val="21"/>
                <w:lang w:val="en-US" w:eastAsia="zh-CN"/>
              </w:rPr>
              <w:t>3</w:t>
            </w:r>
            <w:r>
              <w:rPr>
                <w:rFonts w:hint="eastAsia"/>
                <w:szCs w:val="21"/>
              </w:rPr>
              <w:t>分</w:t>
            </w:r>
            <w:r>
              <w:rPr>
                <w:rFonts w:hint="eastAsia"/>
                <w:szCs w:val="21"/>
                <w:lang w:eastAsia="zh-CN"/>
              </w:rPr>
              <w:t>；未提供不得分。</w:t>
            </w:r>
          </w:p>
          <w:p>
            <w:pPr>
              <w:widowControl/>
              <w:adjustRightInd w:val="0"/>
              <w:snapToGrid w:val="0"/>
              <w:spacing w:line="360" w:lineRule="auto"/>
              <w:rPr>
                <w:rFonts w:hint="eastAsia" w:eastAsiaTheme="minorEastAsia"/>
                <w:szCs w:val="21"/>
                <w:lang w:eastAsia="zh-CN"/>
              </w:rPr>
            </w:pPr>
            <w:r>
              <w:rPr>
                <w:rFonts w:hint="eastAsia"/>
                <w:szCs w:val="21"/>
              </w:rPr>
              <w:t>3、</w:t>
            </w:r>
            <w:r>
              <w:rPr>
                <w:rFonts w:hint="eastAsia"/>
                <w:szCs w:val="21"/>
                <w:lang w:eastAsia="zh-CN"/>
              </w:rPr>
              <w:t>根据泵站现场情况，制定文明施工措施。</w:t>
            </w:r>
            <w:r>
              <w:rPr>
                <w:rFonts w:hint="eastAsia"/>
                <w:szCs w:val="21"/>
              </w:rPr>
              <w:t>措施科学合理，描述详细</w:t>
            </w:r>
            <w:r>
              <w:rPr>
                <w:rFonts w:hint="eastAsia"/>
                <w:szCs w:val="21"/>
                <w:lang w:eastAsia="zh-CN"/>
              </w:rPr>
              <w:t>、</w:t>
            </w:r>
            <w:r>
              <w:rPr>
                <w:rFonts w:hint="eastAsia"/>
                <w:szCs w:val="21"/>
              </w:rPr>
              <w:t>具有针对性的得</w:t>
            </w:r>
            <w:r>
              <w:rPr>
                <w:rFonts w:hint="eastAsia"/>
                <w:szCs w:val="21"/>
                <w:lang w:val="en-US" w:eastAsia="zh-CN"/>
              </w:rPr>
              <w:t>5-6</w:t>
            </w:r>
            <w:r>
              <w:rPr>
                <w:rFonts w:hint="eastAsia"/>
                <w:szCs w:val="21"/>
              </w:rPr>
              <w:t>分</w:t>
            </w:r>
            <w:r>
              <w:rPr>
                <w:rFonts w:hint="eastAsia"/>
                <w:szCs w:val="21"/>
                <w:lang w:eastAsia="zh-CN"/>
              </w:rPr>
              <w:t>；</w:t>
            </w:r>
            <w:r>
              <w:rPr>
                <w:rFonts w:hint="eastAsia" w:ascii="宋体" w:hAnsi="宋体" w:cs="宋体"/>
                <w:szCs w:val="21"/>
              </w:rPr>
              <w:t>措施较合理、严密、描述较为详细</w:t>
            </w:r>
            <w:r>
              <w:rPr>
                <w:rFonts w:hint="eastAsia" w:ascii="宋体" w:hAnsi="宋体" w:cs="宋体"/>
                <w:szCs w:val="21"/>
                <w:lang w:eastAsia="zh-CN"/>
              </w:rPr>
              <w:t>得</w:t>
            </w:r>
            <w:r>
              <w:rPr>
                <w:rFonts w:hint="eastAsia" w:ascii="宋体" w:hAnsi="宋体" w:cs="宋体"/>
                <w:szCs w:val="21"/>
                <w:lang w:val="en-US" w:eastAsia="zh-CN"/>
              </w:rPr>
              <w:t>3-4分；</w:t>
            </w:r>
            <w:r>
              <w:rPr>
                <w:rFonts w:hint="eastAsia"/>
                <w:szCs w:val="21"/>
              </w:rPr>
              <w:t>措施基本合理、描述一般，得</w:t>
            </w:r>
            <w:r>
              <w:rPr>
                <w:rFonts w:hint="eastAsia"/>
                <w:szCs w:val="21"/>
                <w:lang w:val="en-US" w:eastAsia="zh-CN"/>
              </w:rPr>
              <w:t>1-2</w:t>
            </w:r>
            <w:r>
              <w:rPr>
                <w:rFonts w:hint="eastAsia"/>
                <w:szCs w:val="21"/>
              </w:rPr>
              <w:t>分</w:t>
            </w:r>
            <w:r>
              <w:rPr>
                <w:rFonts w:hint="eastAsia"/>
                <w:szCs w:val="21"/>
                <w:lang w:eastAsia="zh-CN"/>
              </w:rPr>
              <w:t>；未提供不得分。</w:t>
            </w:r>
          </w:p>
          <w:p>
            <w:pPr>
              <w:widowControl/>
              <w:adjustRightInd w:val="0"/>
              <w:snapToGrid w:val="0"/>
              <w:spacing w:line="360" w:lineRule="auto"/>
              <w:rPr>
                <w:rFonts w:hint="eastAsia" w:eastAsiaTheme="minorEastAsia"/>
                <w:b/>
                <w:u w:val="single"/>
                <w:lang w:eastAsia="zh-CN"/>
              </w:rPr>
            </w:pPr>
            <w:r>
              <w:rPr>
                <w:rFonts w:hint="eastAsia"/>
                <w:szCs w:val="21"/>
                <w:lang w:val="en-US" w:eastAsia="zh-CN"/>
              </w:rPr>
              <w:t>4、</w:t>
            </w:r>
            <w:r>
              <w:rPr>
                <w:rFonts w:hint="eastAsia"/>
                <w:szCs w:val="21"/>
              </w:rPr>
              <w:t>承诺质保期为12个月，得1分；承诺质保期为18个月，得2分；承诺质保期为24个月，得4分</w:t>
            </w:r>
            <w:r>
              <w:rPr>
                <w:rFonts w:hint="eastAsia"/>
                <w:szCs w:val="21"/>
                <w:lang w:eastAsia="zh-CN"/>
              </w:rPr>
              <w:t>；未提供不得分。</w:t>
            </w:r>
          </w:p>
        </w:tc>
      </w:tr>
    </w:tbl>
    <w:p>
      <w:pPr>
        <w:pStyle w:val="7"/>
        <w:shd w:val="clear" w:color="auto" w:fill="FFFFFF"/>
        <w:spacing w:before="0" w:beforeAutospacing="0" w:after="0" w:afterAutospacing="0" w:line="360" w:lineRule="auto"/>
        <w:ind w:firstLine="450"/>
      </w:pPr>
      <w:r>
        <w:rPr>
          <w:rFonts w:hint="eastAsia"/>
        </w:rPr>
        <w:t>6.3投标文件的澄清和补正</w:t>
      </w:r>
    </w:p>
    <w:p>
      <w:pPr>
        <w:pStyle w:val="7"/>
        <w:shd w:val="clear" w:color="auto" w:fill="FFFFFF"/>
        <w:spacing w:before="0" w:beforeAutospacing="0" w:after="0" w:afterAutospacing="0" w:line="360" w:lineRule="auto"/>
        <w:ind w:firstLine="450"/>
      </w:pPr>
      <w:r>
        <w:rPr>
          <w:rFonts w:hint="eastAsia"/>
        </w:rPr>
        <w:t>6.3.1在评标过程中，评标小组可以要求投标人用面谈或书面回复的形式对投标文件含义不明确、对同类问题表述不一致的内容作必要的澄清或者说明，或者对细微偏差进行补正。</w:t>
      </w:r>
    </w:p>
    <w:p>
      <w:pPr>
        <w:pStyle w:val="7"/>
        <w:shd w:val="clear" w:color="auto" w:fill="FFFFFF"/>
        <w:spacing w:before="0" w:beforeAutospacing="0" w:after="0" w:afterAutospacing="0" w:line="360" w:lineRule="auto"/>
        <w:ind w:firstLine="450"/>
      </w:pPr>
      <w:r>
        <w:rPr>
          <w:rFonts w:hint="eastAsia"/>
        </w:rPr>
        <w:t>6.3.1澄清、说明和补正不得改变投标文件的实质性内容（算术性错误修正和招标人依本招标文件规定要求再次报价的除外）。投标人的澄清、说明和补正均应采用书面形式，经投标人的法定代表人或其授权代表签字后作为投标文件的组成部分。</w:t>
      </w:r>
    </w:p>
    <w:p>
      <w:pPr>
        <w:pStyle w:val="7"/>
        <w:shd w:val="clear" w:color="auto" w:fill="FFFFFF"/>
        <w:spacing w:before="0" w:beforeAutospacing="0" w:after="0" w:afterAutospacing="0" w:line="360" w:lineRule="auto"/>
      </w:pPr>
      <w:r>
        <w:rPr>
          <w:rFonts w:hint="eastAsia"/>
        </w:rPr>
        <w:t>七、定标</w:t>
      </w:r>
    </w:p>
    <w:p>
      <w:pPr>
        <w:pStyle w:val="7"/>
        <w:shd w:val="clear" w:color="auto" w:fill="FFFFFF"/>
        <w:spacing w:before="0" w:beforeAutospacing="0" w:after="0" w:afterAutospacing="0" w:line="360" w:lineRule="auto"/>
        <w:ind w:firstLine="450"/>
      </w:pPr>
      <w:r>
        <w:rPr>
          <w:rFonts w:hint="eastAsia"/>
        </w:rPr>
        <w:t xml:space="preserve">招标人依据评标小组对投标文件的评审和排名情况，确定中标候选人，招标人须确定排名第一的中标候选人为中标人。排名第一的中标候选人放弃中标、因不可抗力提出不能履行合同，招标人可以确定排名第二的中标候选人为中标人。 </w:t>
      </w:r>
    </w:p>
    <w:p>
      <w:pPr>
        <w:pStyle w:val="7"/>
        <w:shd w:val="clear" w:color="auto" w:fill="FFFFFF"/>
        <w:spacing w:before="0" w:beforeAutospacing="0" w:after="0" w:afterAutospacing="0" w:line="360" w:lineRule="auto"/>
        <w:ind w:firstLine="450"/>
        <w:rPr>
          <w:rFonts w:asciiTheme="minorEastAsia" w:hAnsiTheme="minorEastAsia"/>
        </w:rPr>
      </w:pPr>
      <w:r>
        <w:rPr>
          <w:rFonts w:hint="eastAsia"/>
        </w:rPr>
        <w:t>排名第二的中标候选人因前款规定的同样原因不能签订合同的，招标人可以确定排名第三的中标候选人为中标人。</w:t>
      </w:r>
    </w:p>
    <w:p>
      <w:pPr>
        <w:spacing w:line="360" w:lineRule="auto"/>
        <w:rPr>
          <w:rFonts w:hint="eastAsia" w:asciiTheme="minorEastAsia" w:hAnsiTheme="minorEastAsia"/>
          <w:sz w:val="24"/>
          <w:szCs w:val="24"/>
        </w:rPr>
      </w:pPr>
      <w:r>
        <w:rPr>
          <w:rFonts w:hint="eastAsia" w:asciiTheme="minorEastAsia" w:hAnsiTheme="minorEastAsia"/>
          <w:sz w:val="24"/>
          <w:szCs w:val="24"/>
        </w:rPr>
        <w:t>八、付款条件：</w:t>
      </w:r>
    </w:p>
    <w:p>
      <w:pPr>
        <w:spacing w:line="360" w:lineRule="auto"/>
        <w:rPr>
          <w:rFonts w:asciiTheme="minorEastAsia" w:hAnsiTheme="minorEastAsia"/>
          <w:sz w:val="24"/>
          <w:szCs w:val="24"/>
        </w:rPr>
      </w:pPr>
      <w:r>
        <w:rPr>
          <w:rFonts w:hint="eastAsia" w:asciiTheme="minorEastAsia" w:hAnsiTheme="minorEastAsia"/>
          <w:sz w:val="24"/>
          <w:szCs w:val="24"/>
        </w:rPr>
        <w:t xml:space="preserve">    产品到货、安装完成，验收合格后，于次月支付总价的97%，质保期结束后，余款无息付清。</w:t>
      </w:r>
    </w:p>
    <w:p>
      <w:pPr>
        <w:spacing w:line="360" w:lineRule="auto"/>
        <w:rPr>
          <w:rFonts w:asciiTheme="minorEastAsia" w:hAnsiTheme="minorEastAsia"/>
          <w:sz w:val="24"/>
          <w:szCs w:val="24"/>
        </w:rPr>
      </w:pPr>
      <w:r>
        <w:rPr>
          <w:rFonts w:hint="eastAsia" w:asciiTheme="minorEastAsia" w:hAnsiTheme="minorEastAsia"/>
          <w:sz w:val="24"/>
          <w:szCs w:val="24"/>
        </w:rPr>
        <w:t>九、投标文件应提交的资料</w:t>
      </w:r>
    </w:p>
    <w:p>
      <w:pPr>
        <w:spacing w:line="360" w:lineRule="auto"/>
        <w:rPr>
          <w:rFonts w:asciiTheme="minorEastAsia" w:hAnsiTheme="minorEastAsia"/>
          <w:sz w:val="24"/>
          <w:szCs w:val="24"/>
        </w:rPr>
      </w:pPr>
      <w:r>
        <w:rPr>
          <w:rFonts w:hint="eastAsia" w:asciiTheme="minorEastAsia" w:hAnsiTheme="minorEastAsia"/>
          <w:sz w:val="24"/>
          <w:szCs w:val="24"/>
        </w:rPr>
        <w:t xml:space="preserve">    9.</w:t>
      </w:r>
      <w:r>
        <w:rPr>
          <w:rFonts w:asciiTheme="minorEastAsia" w:hAnsiTheme="minorEastAsia"/>
          <w:sz w:val="24"/>
          <w:szCs w:val="24"/>
        </w:rPr>
        <w:t>1营业执照（复印件加盖</w:t>
      </w:r>
      <w:r>
        <w:rPr>
          <w:rFonts w:hint="eastAsia" w:asciiTheme="minorEastAsia" w:hAnsiTheme="minorEastAsia"/>
          <w:sz w:val="24"/>
          <w:szCs w:val="24"/>
        </w:rPr>
        <w:t>公</w:t>
      </w:r>
      <w:r>
        <w:rPr>
          <w:rFonts w:asciiTheme="minorEastAsia" w:hAnsiTheme="minorEastAsia"/>
          <w:sz w:val="24"/>
          <w:szCs w:val="24"/>
        </w:rPr>
        <w:t>章）；</w:t>
      </w:r>
      <w:r>
        <w:rPr>
          <w:rFonts w:asciiTheme="minorEastAsia" w:hAnsiTheme="minorEastAsia"/>
          <w:sz w:val="24"/>
          <w:szCs w:val="24"/>
        </w:rPr>
        <w:br w:type="textWrapping"/>
      </w:r>
      <w:r>
        <w:rPr>
          <w:rFonts w:hint="eastAsia" w:asciiTheme="minorEastAsia" w:hAnsiTheme="minorEastAsia"/>
          <w:sz w:val="24"/>
          <w:szCs w:val="24"/>
        </w:rPr>
        <w:t xml:space="preserve">    9.</w:t>
      </w:r>
      <w:r>
        <w:rPr>
          <w:rFonts w:asciiTheme="minorEastAsia" w:hAnsiTheme="minorEastAsia"/>
          <w:sz w:val="24"/>
          <w:szCs w:val="24"/>
        </w:rPr>
        <w:t>2</w:t>
      </w:r>
      <w:r>
        <w:rPr>
          <w:rFonts w:hint="eastAsia" w:asciiTheme="minorEastAsia" w:hAnsiTheme="minorEastAsia"/>
          <w:sz w:val="24"/>
          <w:szCs w:val="24"/>
        </w:rPr>
        <w:t>法人代表身份证复印件，如非法人代表投标，需提供委托书和受托人身份证复印件并加盖公章；</w:t>
      </w:r>
    </w:p>
    <w:p>
      <w:pPr>
        <w:spacing w:line="360" w:lineRule="auto"/>
        <w:rPr>
          <w:rFonts w:asciiTheme="minorEastAsia" w:hAnsiTheme="minorEastAsia"/>
          <w:sz w:val="24"/>
          <w:szCs w:val="24"/>
        </w:rPr>
      </w:pPr>
      <w:r>
        <w:rPr>
          <w:rFonts w:hint="eastAsia" w:asciiTheme="minorEastAsia" w:hAnsiTheme="minorEastAsia"/>
          <w:sz w:val="24"/>
          <w:szCs w:val="24"/>
        </w:rPr>
        <w:t xml:space="preserve">    9.3</w:t>
      </w:r>
      <w:r>
        <w:rPr>
          <w:rFonts w:asciiTheme="minorEastAsia" w:hAnsiTheme="minorEastAsia"/>
          <w:sz w:val="24"/>
          <w:szCs w:val="24"/>
        </w:rPr>
        <w:t>报价</w:t>
      </w:r>
      <w:r>
        <w:rPr>
          <w:rFonts w:hint="eastAsia" w:asciiTheme="minorEastAsia" w:hAnsiTheme="minorEastAsia"/>
          <w:sz w:val="24"/>
          <w:szCs w:val="24"/>
        </w:rPr>
        <w:t>函；</w:t>
      </w:r>
      <w:r>
        <w:rPr>
          <w:rFonts w:asciiTheme="minorEastAsia" w:hAnsiTheme="minorEastAsia"/>
          <w:sz w:val="24"/>
          <w:szCs w:val="24"/>
        </w:rPr>
        <w:br w:type="textWrapping"/>
      </w:r>
      <w:r>
        <w:rPr>
          <w:rFonts w:hint="eastAsia" w:asciiTheme="minorEastAsia" w:hAnsiTheme="minorEastAsia"/>
          <w:sz w:val="24"/>
          <w:szCs w:val="24"/>
        </w:rPr>
        <w:t xml:space="preserve">    9.4其他材料。</w:t>
      </w:r>
      <w:r>
        <w:rPr>
          <w:rFonts w:asciiTheme="minorEastAsia" w:hAnsiTheme="minorEastAsia"/>
          <w:sz w:val="24"/>
          <w:szCs w:val="24"/>
        </w:rPr>
        <w:br w:type="textWrapping"/>
      </w:r>
      <w:r>
        <w:rPr>
          <w:rFonts w:hint="eastAsia" w:asciiTheme="minorEastAsia" w:hAnsiTheme="minorEastAsia"/>
          <w:sz w:val="24"/>
          <w:szCs w:val="24"/>
        </w:rPr>
        <w:t>十、</w:t>
      </w:r>
      <w:r>
        <w:rPr>
          <w:rFonts w:asciiTheme="minorEastAsia" w:hAnsiTheme="minorEastAsia"/>
          <w:sz w:val="24"/>
          <w:szCs w:val="24"/>
        </w:rPr>
        <w:t>报价文件递交截止时间、地点</w:t>
      </w:r>
      <w:r>
        <w:rPr>
          <w:rFonts w:asciiTheme="minorEastAsia" w:hAnsiTheme="minorEastAsia"/>
          <w:sz w:val="24"/>
          <w:szCs w:val="24"/>
        </w:rPr>
        <w:br w:type="textWrapping"/>
      </w:r>
      <w:r>
        <w:rPr>
          <w:rFonts w:hint="eastAsia" w:asciiTheme="minorEastAsia" w:hAnsiTheme="minorEastAsia"/>
          <w:sz w:val="24"/>
          <w:szCs w:val="24"/>
        </w:rPr>
        <w:t xml:space="preserve">    </w:t>
      </w:r>
      <w:r>
        <w:rPr>
          <w:rFonts w:asciiTheme="minorEastAsia" w:hAnsiTheme="minorEastAsia"/>
          <w:sz w:val="24"/>
          <w:szCs w:val="24"/>
        </w:rPr>
        <w:t>20</w:t>
      </w:r>
      <w:r>
        <w:rPr>
          <w:rFonts w:hint="eastAsia" w:asciiTheme="minorEastAsia" w:hAnsiTheme="minorEastAsia"/>
          <w:sz w:val="24"/>
          <w:szCs w:val="24"/>
        </w:rPr>
        <w:t>23</w:t>
      </w:r>
      <w:r>
        <w:rPr>
          <w:rFonts w:asciiTheme="minorEastAsia" w:hAnsiTheme="minorEastAsia"/>
          <w:sz w:val="24"/>
          <w:szCs w:val="24"/>
        </w:rPr>
        <w:t>年</w:t>
      </w:r>
      <w:r>
        <w:rPr>
          <w:rFonts w:hint="eastAsia" w:asciiTheme="minorEastAsia" w:hAnsiTheme="minorEastAsia"/>
          <w:sz w:val="24"/>
          <w:szCs w:val="24"/>
          <w:lang w:val="en-US" w:eastAsia="zh-CN"/>
        </w:rPr>
        <w:t>6</w:t>
      </w:r>
      <w:r>
        <w:rPr>
          <w:rFonts w:asciiTheme="minorEastAsia" w:hAnsiTheme="minorEastAsia"/>
          <w:sz w:val="24"/>
          <w:szCs w:val="24"/>
        </w:rPr>
        <w:t>月</w:t>
      </w:r>
      <w:r>
        <w:rPr>
          <w:rFonts w:hint="eastAsia" w:asciiTheme="minorEastAsia" w:hAnsiTheme="minorEastAsia"/>
          <w:sz w:val="24"/>
          <w:szCs w:val="24"/>
          <w:lang w:val="en-US" w:eastAsia="zh-CN"/>
        </w:rPr>
        <w:t>7</w:t>
      </w:r>
      <w:bookmarkStart w:id="0" w:name="_GoBack"/>
      <w:bookmarkEnd w:id="0"/>
      <w:r>
        <w:rPr>
          <w:rFonts w:asciiTheme="minorEastAsia" w:hAnsiTheme="minorEastAsia"/>
          <w:sz w:val="24"/>
          <w:szCs w:val="24"/>
        </w:rPr>
        <w:t>日</w:t>
      </w:r>
      <w:r>
        <w:rPr>
          <w:rFonts w:hint="eastAsia" w:asciiTheme="minorEastAsia" w:hAnsiTheme="minorEastAsia"/>
          <w:sz w:val="24"/>
          <w:szCs w:val="24"/>
        </w:rPr>
        <w:t>上午12点</w:t>
      </w:r>
      <w:r>
        <w:rPr>
          <w:rFonts w:asciiTheme="minorEastAsia" w:hAnsiTheme="minorEastAsia"/>
          <w:sz w:val="24"/>
          <w:szCs w:val="24"/>
        </w:rPr>
        <w:t>前，书面送达：</w:t>
      </w:r>
      <w:r>
        <w:rPr>
          <w:rFonts w:hint="eastAsia" w:asciiTheme="minorEastAsia" w:hAnsiTheme="minorEastAsia"/>
          <w:sz w:val="24"/>
          <w:szCs w:val="24"/>
          <w:lang w:eastAsia="zh-CN"/>
        </w:rPr>
        <w:t>邗江区蒋王泵站（蒋王路与站南路交叉口向西</w:t>
      </w:r>
      <w:r>
        <w:rPr>
          <w:rFonts w:hint="eastAsia" w:asciiTheme="minorEastAsia" w:hAnsiTheme="minorEastAsia"/>
          <w:sz w:val="24"/>
          <w:szCs w:val="24"/>
          <w:lang w:val="en-US" w:eastAsia="zh-CN"/>
        </w:rPr>
        <w:t>100米</w:t>
      </w:r>
      <w:r>
        <w:rPr>
          <w:rFonts w:hint="eastAsia" w:asciiTheme="minorEastAsia" w:hAnsiTheme="minorEastAsia"/>
          <w:sz w:val="24"/>
          <w:szCs w:val="24"/>
          <w:lang w:eastAsia="zh-CN"/>
        </w:rPr>
        <w:t>）</w:t>
      </w:r>
      <w:r>
        <w:rPr>
          <w:rFonts w:asciiTheme="minorEastAsia" w:hAnsiTheme="minorEastAsia"/>
          <w:sz w:val="24"/>
          <w:szCs w:val="24"/>
        </w:rPr>
        <w:t> </w:t>
      </w:r>
      <w:r>
        <w:rPr>
          <w:rFonts w:hint="eastAsia" w:asciiTheme="minorEastAsia" w:hAnsiTheme="minorEastAsia"/>
          <w:sz w:val="24"/>
          <w:szCs w:val="24"/>
        </w:rPr>
        <w:t>联系电话：</w:t>
      </w:r>
      <w:r>
        <w:rPr>
          <w:rFonts w:hint="eastAsia" w:asciiTheme="minorEastAsia" w:hAnsiTheme="minorEastAsia"/>
          <w:sz w:val="24"/>
          <w:szCs w:val="24"/>
          <w:lang w:val="en-US" w:eastAsia="zh-CN"/>
        </w:rPr>
        <w:t>15252758291</w:t>
      </w:r>
      <w:r>
        <w:rPr>
          <w:rFonts w:hint="eastAsia" w:asciiTheme="minorEastAsia" w:hAnsiTheme="minorEastAsia"/>
          <w:sz w:val="24"/>
          <w:szCs w:val="24"/>
        </w:rPr>
        <w:t xml:space="preserve">  联系人：</w:t>
      </w:r>
      <w:r>
        <w:rPr>
          <w:rFonts w:hint="eastAsia" w:asciiTheme="minorEastAsia" w:hAnsiTheme="minorEastAsia"/>
          <w:sz w:val="24"/>
          <w:szCs w:val="24"/>
          <w:lang w:eastAsia="zh-CN"/>
        </w:rPr>
        <w:t>方女士</w:t>
      </w:r>
      <w:r>
        <w:rPr>
          <w:rFonts w:hint="eastAsia" w:asciiTheme="minorEastAsia" w:hAnsiTheme="minorEastAsia"/>
          <w:sz w:val="24"/>
          <w:szCs w:val="24"/>
        </w:rPr>
        <w:t xml:space="preserve">   </w:t>
      </w:r>
      <w:r>
        <w:rPr>
          <w:rFonts w:asciiTheme="minorEastAsia" w:hAnsiTheme="minorEastAsia"/>
          <w:sz w:val="24"/>
          <w:szCs w:val="24"/>
        </w:rPr>
        <w:t>邮编</w:t>
      </w:r>
      <w:r>
        <w:rPr>
          <w:rFonts w:hint="eastAsia" w:asciiTheme="minorEastAsia" w:hAnsiTheme="minorEastAsia"/>
          <w:sz w:val="24"/>
          <w:szCs w:val="24"/>
        </w:rPr>
        <w:t>：</w:t>
      </w:r>
      <w:r>
        <w:rPr>
          <w:rFonts w:asciiTheme="minorEastAsia" w:hAnsiTheme="minorEastAsia"/>
          <w:sz w:val="24"/>
          <w:szCs w:val="24"/>
        </w:rPr>
        <w:t>225000。</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r>
        <w:rPr>
          <w:rFonts w:hint="eastAsia"/>
        </w:rPr>
        <w:t>附件：</w:t>
      </w:r>
    </w:p>
    <w:tbl>
      <w:tblPr>
        <w:tblStyle w:val="8"/>
        <w:tblW w:w="8720" w:type="dxa"/>
        <w:tblInd w:w="5" w:type="dxa"/>
        <w:tblLayout w:type="fixed"/>
        <w:tblCellMar>
          <w:top w:w="0" w:type="dxa"/>
          <w:left w:w="0" w:type="dxa"/>
          <w:bottom w:w="0" w:type="dxa"/>
          <w:right w:w="0" w:type="dxa"/>
        </w:tblCellMar>
      </w:tblPr>
      <w:tblGrid>
        <w:gridCol w:w="567"/>
        <w:gridCol w:w="2483"/>
        <w:gridCol w:w="2130"/>
        <w:gridCol w:w="490"/>
        <w:gridCol w:w="1040"/>
        <w:gridCol w:w="2010"/>
      </w:tblGrid>
      <w:tr>
        <w:tblPrEx>
          <w:tblCellMar>
            <w:top w:w="0" w:type="dxa"/>
            <w:left w:w="0" w:type="dxa"/>
            <w:bottom w:w="0" w:type="dxa"/>
            <w:right w:w="0" w:type="dxa"/>
          </w:tblCellMar>
        </w:tblPrEx>
        <w:trPr>
          <w:trHeight w:val="315" w:hRule="atLeast"/>
        </w:trPr>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序号</w:t>
            </w:r>
          </w:p>
        </w:tc>
        <w:tc>
          <w:tcPr>
            <w:tcW w:w="248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材料名称</w:t>
            </w:r>
          </w:p>
        </w:tc>
        <w:tc>
          <w:tcPr>
            <w:tcW w:w="2130"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规格型号</w:t>
            </w:r>
          </w:p>
        </w:tc>
        <w:tc>
          <w:tcPr>
            <w:tcW w:w="490"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单位</w:t>
            </w:r>
          </w:p>
        </w:tc>
        <w:tc>
          <w:tcPr>
            <w:tcW w:w="1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数量</w:t>
            </w:r>
          </w:p>
        </w:tc>
        <w:tc>
          <w:tcPr>
            <w:tcW w:w="2010" w:type="dxa"/>
            <w:tcBorders>
              <w:top w:val="single" w:color="auto" w:sz="4" w:space="0"/>
              <w:left w:val="nil"/>
              <w:bottom w:val="nil"/>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备注</w:t>
            </w:r>
          </w:p>
        </w:tc>
      </w:tr>
      <w:tr>
        <w:tblPrEx>
          <w:tblCellMar>
            <w:top w:w="0" w:type="dxa"/>
            <w:left w:w="0" w:type="dxa"/>
            <w:bottom w:w="0" w:type="dxa"/>
            <w:right w:w="0" w:type="dxa"/>
          </w:tblCellMar>
        </w:tblPrEx>
        <w:trPr>
          <w:trHeight w:val="792" w:hRule="atLeast"/>
        </w:trPr>
        <w:tc>
          <w:tcPr>
            <w:tcW w:w="567"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1</w:t>
            </w:r>
          </w:p>
        </w:tc>
        <w:tc>
          <w:tcPr>
            <w:tcW w:w="2483" w:type="dxa"/>
            <w:tcBorders>
              <w:top w:val="nil"/>
              <w:left w:val="nil"/>
              <w:bottom w:val="single" w:color="auto" w:sz="4" w:space="0"/>
              <w:right w:val="single" w:color="auto" w:sz="4" w:space="0"/>
            </w:tcBorders>
            <w:vAlign w:val="center"/>
          </w:tcPr>
          <w:p>
            <w:pPr>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定制集装箱办公用房</w:t>
            </w:r>
          </w:p>
        </w:tc>
        <w:tc>
          <w:tcPr>
            <w:tcW w:w="2130" w:type="dxa"/>
            <w:tcBorders>
              <w:top w:val="nil"/>
              <w:left w:val="nil"/>
              <w:bottom w:val="single" w:color="auto" w:sz="4" w:space="0"/>
              <w:right w:val="single" w:color="auto" w:sz="4" w:space="0"/>
            </w:tcBorders>
            <w:vAlign w:val="center"/>
          </w:tcPr>
          <w:p>
            <w:pPr>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6m长*4m宽*3.1m高</w:t>
            </w:r>
          </w:p>
        </w:tc>
        <w:tc>
          <w:tcPr>
            <w:tcW w:w="490"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套</w:t>
            </w:r>
          </w:p>
        </w:tc>
        <w:tc>
          <w:tcPr>
            <w:tcW w:w="1040"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3</w:t>
            </w:r>
          </w:p>
        </w:tc>
        <w:tc>
          <w:tcPr>
            <w:tcW w:w="2010"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FF0000"/>
                <w:sz w:val="24"/>
                <w:szCs w:val="24"/>
              </w:rPr>
            </w:pPr>
            <w:r>
              <w:rPr>
                <w:rFonts w:hint="eastAsia" w:ascii="仿宋" w:hAnsi="仿宋" w:eastAsia="仿宋"/>
                <w:color w:val="FF0000"/>
                <w:sz w:val="24"/>
                <w:szCs w:val="24"/>
              </w:rPr>
              <w:t xml:space="preserve">  </w:t>
            </w:r>
          </w:p>
        </w:tc>
      </w:tr>
      <w:tr>
        <w:tblPrEx>
          <w:tblCellMar>
            <w:top w:w="0" w:type="dxa"/>
            <w:left w:w="0" w:type="dxa"/>
            <w:bottom w:w="0" w:type="dxa"/>
            <w:right w:w="0" w:type="dxa"/>
          </w:tblCellMar>
        </w:tblPrEx>
        <w:trPr>
          <w:trHeight w:val="692" w:hRule="atLeast"/>
        </w:trPr>
        <w:tc>
          <w:tcPr>
            <w:tcW w:w="567" w:type="dxa"/>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sz w:val="24"/>
                <w:szCs w:val="24"/>
              </w:rPr>
            </w:pPr>
            <w:r>
              <w:rPr>
                <w:rFonts w:hint="eastAsia" w:ascii="仿宋" w:hAnsi="仿宋" w:eastAsia="仿宋"/>
                <w:sz w:val="24"/>
                <w:szCs w:val="24"/>
              </w:rPr>
              <w:t>2</w:t>
            </w:r>
          </w:p>
        </w:tc>
        <w:tc>
          <w:tcPr>
            <w:tcW w:w="2483" w:type="dxa"/>
            <w:tcBorders>
              <w:top w:val="nil"/>
              <w:left w:val="nil"/>
              <w:bottom w:val="single" w:color="auto" w:sz="4" w:space="0"/>
              <w:right w:val="single" w:color="auto" w:sz="4" w:space="0"/>
            </w:tcBorders>
            <w:vAlign w:val="center"/>
          </w:tcPr>
          <w:p>
            <w:pPr>
              <w:adjustRightInd w:val="0"/>
              <w:snapToGrid w:val="0"/>
              <w:spacing w:line="360" w:lineRule="auto"/>
              <w:jc w:val="center"/>
              <w:rPr>
                <w:rFonts w:hint="eastAsia" w:ascii="仿宋" w:hAnsi="仿宋" w:eastAsia="仿宋"/>
                <w:sz w:val="24"/>
                <w:szCs w:val="24"/>
              </w:rPr>
            </w:pPr>
            <w:r>
              <w:rPr>
                <w:rFonts w:hint="eastAsia" w:ascii="仿宋" w:hAnsi="仿宋" w:eastAsia="仿宋"/>
                <w:sz w:val="24"/>
                <w:szCs w:val="24"/>
              </w:rPr>
              <w:t>地板</w:t>
            </w:r>
          </w:p>
        </w:tc>
        <w:tc>
          <w:tcPr>
            <w:tcW w:w="2130" w:type="dxa"/>
            <w:tcBorders>
              <w:top w:val="nil"/>
              <w:left w:val="nil"/>
              <w:bottom w:val="single" w:color="auto" w:sz="4" w:space="0"/>
              <w:right w:val="single" w:color="auto" w:sz="4" w:space="0"/>
            </w:tcBorders>
            <w:vAlign w:val="center"/>
          </w:tcPr>
          <w:p>
            <w:pPr>
              <w:spacing w:line="360" w:lineRule="auto"/>
              <w:jc w:val="center"/>
              <w:rPr>
                <w:rFonts w:hint="eastAsia" w:ascii="仿宋" w:hAnsi="仿宋" w:eastAsia="仿宋"/>
                <w:sz w:val="24"/>
                <w:szCs w:val="24"/>
                <w:lang w:eastAsia="zh-CN"/>
              </w:rPr>
            </w:pPr>
            <w:r>
              <w:rPr>
                <w:rFonts w:hint="eastAsia" w:ascii="仿宋" w:hAnsi="仿宋" w:eastAsia="仿宋"/>
                <w:sz w:val="24"/>
                <w:szCs w:val="24"/>
                <w:lang w:eastAsia="zh-CN"/>
              </w:rPr>
              <w:t>复合地板</w:t>
            </w:r>
          </w:p>
        </w:tc>
        <w:tc>
          <w:tcPr>
            <w:tcW w:w="490"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仿宋" w:hAnsi="仿宋" w:eastAsia="仿宋"/>
                <w:sz w:val="24"/>
                <w:szCs w:val="24"/>
                <w:lang w:val="en-US" w:eastAsia="zh-CN"/>
              </w:rPr>
            </w:pPr>
            <w:r>
              <w:rPr>
                <w:rFonts w:hint="eastAsia" w:ascii="仿宋" w:hAnsi="仿宋" w:eastAsia="仿宋"/>
                <w:sz w:val="24"/>
                <w:szCs w:val="24"/>
                <w:lang w:val="en-US" w:eastAsia="zh-CN"/>
              </w:rPr>
              <w:t>M2</w:t>
            </w:r>
          </w:p>
        </w:tc>
        <w:tc>
          <w:tcPr>
            <w:tcW w:w="1040" w:type="dxa"/>
            <w:tcBorders>
              <w:top w:val="nil"/>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sz w:val="24"/>
                <w:szCs w:val="24"/>
                <w:lang w:val="en-US" w:eastAsia="zh-CN"/>
              </w:rPr>
            </w:pPr>
            <w:r>
              <w:rPr>
                <w:rFonts w:hint="eastAsia" w:ascii="仿宋" w:hAnsi="仿宋" w:eastAsia="仿宋"/>
                <w:sz w:val="24"/>
                <w:szCs w:val="24"/>
                <w:lang w:val="en-US" w:eastAsia="zh-CN"/>
              </w:rPr>
              <w:t>72</w:t>
            </w:r>
          </w:p>
        </w:tc>
        <w:tc>
          <w:tcPr>
            <w:tcW w:w="201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 w:hAnsi="仿宋" w:eastAsia="仿宋"/>
                <w:sz w:val="24"/>
                <w:szCs w:val="24"/>
              </w:rPr>
            </w:pPr>
            <w:r>
              <w:rPr>
                <w:rFonts w:hint="eastAsia" w:ascii="仿宋" w:hAnsi="仿宋" w:eastAsia="仿宋"/>
                <w:sz w:val="24"/>
                <w:szCs w:val="24"/>
              </w:rPr>
              <w:t>绿色环保复合地板，专用地板垫层找平铺设。</w:t>
            </w:r>
          </w:p>
        </w:tc>
      </w:tr>
      <w:tr>
        <w:tblPrEx>
          <w:tblCellMar>
            <w:top w:w="0" w:type="dxa"/>
            <w:left w:w="0" w:type="dxa"/>
            <w:bottom w:w="0" w:type="dxa"/>
            <w:right w:w="0" w:type="dxa"/>
          </w:tblCellMar>
        </w:tblPrEx>
        <w:trPr>
          <w:trHeight w:val="843" w:hRule="atLeast"/>
        </w:trPr>
        <w:tc>
          <w:tcPr>
            <w:tcW w:w="567" w:type="dxa"/>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sz w:val="24"/>
                <w:szCs w:val="24"/>
              </w:rPr>
            </w:pPr>
            <w:r>
              <w:rPr>
                <w:rFonts w:hint="eastAsia" w:ascii="仿宋" w:hAnsi="仿宋" w:eastAsia="仿宋"/>
                <w:sz w:val="24"/>
                <w:szCs w:val="24"/>
              </w:rPr>
              <w:t>3</w:t>
            </w:r>
          </w:p>
        </w:tc>
        <w:tc>
          <w:tcPr>
            <w:tcW w:w="2483" w:type="dxa"/>
            <w:tcBorders>
              <w:top w:val="nil"/>
              <w:left w:val="nil"/>
              <w:bottom w:val="single" w:color="auto" w:sz="4" w:space="0"/>
              <w:right w:val="single" w:color="auto" w:sz="4" w:space="0"/>
            </w:tcBorders>
            <w:vAlign w:val="center"/>
          </w:tcPr>
          <w:p>
            <w:pPr>
              <w:adjustRightInd w:val="0"/>
              <w:snapToGrid w:val="0"/>
              <w:spacing w:line="360" w:lineRule="auto"/>
              <w:jc w:val="center"/>
              <w:rPr>
                <w:rFonts w:hint="eastAsia" w:ascii="仿宋" w:hAnsi="仿宋" w:eastAsia="仿宋"/>
                <w:sz w:val="24"/>
                <w:szCs w:val="24"/>
              </w:rPr>
            </w:pPr>
            <w:r>
              <w:rPr>
                <w:rFonts w:hint="eastAsia" w:ascii="仿宋" w:hAnsi="仿宋" w:eastAsia="仿宋"/>
                <w:sz w:val="24"/>
                <w:szCs w:val="24"/>
              </w:rPr>
              <w:t>集成吊顶</w:t>
            </w:r>
          </w:p>
        </w:tc>
        <w:tc>
          <w:tcPr>
            <w:tcW w:w="2130" w:type="dxa"/>
            <w:tcBorders>
              <w:top w:val="nil"/>
              <w:left w:val="nil"/>
              <w:bottom w:val="single" w:color="auto" w:sz="4" w:space="0"/>
              <w:right w:val="single" w:color="auto" w:sz="4" w:space="0"/>
            </w:tcBorders>
            <w:vAlign w:val="center"/>
          </w:tcPr>
          <w:p>
            <w:pPr>
              <w:spacing w:line="360" w:lineRule="auto"/>
              <w:jc w:val="center"/>
              <w:rPr>
                <w:rFonts w:hint="eastAsia" w:ascii="仿宋" w:hAnsi="仿宋" w:eastAsia="仿宋"/>
                <w:sz w:val="24"/>
                <w:szCs w:val="24"/>
                <w:lang w:eastAsia="zh-CN"/>
              </w:rPr>
            </w:pPr>
            <w:r>
              <w:rPr>
                <w:rFonts w:hint="eastAsia" w:ascii="仿宋" w:hAnsi="仿宋" w:eastAsia="仿宋"/>
                <w:sz w:val="24"/>
                <w:szCs w:val="24"/>
                <w:lang w:eastAsia="zh-CN"/>
              </w:rPr>
              <w:t>集成吊顶</w:t>
            </w:r>
          </w:p>
        </w:tc>
        <w:tc>
          <w:tcPr>
            <w:tcW w:w="490"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仿宋" w:hAnsi="仿宋" w:eastAsia="仿宋"/>
                <w:sz w:val="24"/>
                <w:szCs w:val="24"/>
                <w:lang w:val="en-US" w:eastAsia="zh-CN"/>
              </w:rPr>
            </w:pPr>
            <w:r>
              <w:rPr>
                <w:rFonts w:hint="eastAsia" w:ascii="仿宋" w:hAnsi="仿宋" w:eastAsia="仿宋"/>
                <w:sz w:val="24"/>
                <w:szCs w:val="24"/>
                <w:lang w:val="en-US" w:eastAsia="zh-CN"/>
              </w:rPr>
              <w:t>M2</w:t>
            </w:r>
          </w:p>
        </w:tc>
        <w:tc>
          <w:tcPr>
            <w:tcW w:w="1040" w:type="dxa"/>
            <w:tcBorders>
              <w:top w:val="nil"/>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sz w:val="24"/>
                <w:szCs w:val="24"/>
                <w:lang w:val="en-US" w:eastAsia="zh-CN"/>
              </w:rPr>
            </w:pPr>
            <w:r>
              <w:rPr>
                <w:rFonts w:hint="eastAsia" w:ascii="仿宋" w:hAnsi="仿宋" w:eastAsia="仿宋"/>
                <w:sz w:val="24"/>
                <w:szCs w:val="24"/>
                <w:lang w:val="en-US" w:eastAsia="zh-CN"/>
              </w:rPr>
              <w:t>72</w:t>
            </w:r>
          </w:p>
        </w:tc>
        <w:tc>
          <w:tcPr>
            <w:tcW w:w="201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 w:hAnsi="仿宋" w:eastAsia="仿宋"/>
                <w:sz w:val="24"/>
                <w:szCs w:val="24"/>
              </w:rPr>
            </w:pPr>
            <w:r>
              <w:rPr>
                <w:rFonts w:hint="eastAsia" w:ascii="仿宋" w:hAnsi="仿宋" w:eastAsia="仿宋"/>
                <w:sz w:val="24"/>
                <w:szCs w:val="24"/>
              </w:rPr>
              <w:t>环保铝型板材.轻钢龙骨吊顶</w:t>
            </w:r>
          </w:p>
        </w:tc>
      </w:tr>
      <w:tr>
        <w:tblPrEx>
          <w:tblCellMar>
            <w:top w:w="0" w:type="dxa"/>
            <w:left w:w="0" w:type="dxa"/>
            <w:bottom w:w="0" w:type="dxa"/>
            <w:right w:w="0" w:type="dxa"/>
          </w:tblCellMar>
        </w:tblPrEx>
        <w:trPr>
          <w:trHeight w:val="843" w:hRule="atLeast"/>
        </w:trPr>
        <w:tc>
          <w:tcPr>
            <w:tcW w:w="567" w:type="dxa"/>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sz w:val="24"/>
                <w:szCs w:val="24"/>
              </w:rPr>
            </w:pPr>
            <w:r>
              <w:rPr>
                <w:rFonts w:hint="eastAsia" w:ascii="仿宋" w:hAnsi="仿宋" w:eastAsia="仿宋"/>
                <w:sz w:val="24"/>
                <w:szCs w:val="24"/>
              </w:rPr>
              <w:t>4</w:t>
            </w:r>
          </w:p>
        </w:tc>
        <w:tc>
          <w:tcPr>
            <w:tcW w:w="2483" w:type="dxa"/>
            <w:tcBorders>
              <w:top w:val="nil"/>
              <w:left w:val="nil"/>
              <w:bottom w:val="single" w:color="auto" w:sz="4" w:space="0"/>
              <w:right w:val="single" w:color="auto" w:sz="4" w:space="0"/>
            </w:tcBorders>
            <w:vAlign w:val="center"/>
          </w:tcPr>
          <w:p>
            <w:pPr>
              <w:adjustRightInd w:val="0"/>
              <w:snapToGrid w:val="0"/>
              <w:spacing w:line="360" w:lineRule="auto"/>
              <w:jc w:val="center"/>
              <w:rPr>
                <w:rFonts w:hint="eastAsia" w:ascii="仿宋" w:hAnsi="仿宋" w:eastAsia="仿宋"/>
                <w:sz w:val="24"/>
                <w:szCs w:val="24"/>
              </w:rPr>
            </w:pPr>
            <w:r>
              <w:rPr>
                <w:rFonts w:hint="eastAsia" w:ascii="仿宋" w:hAnsi="仿宋" w:eastAsia="仿宋"/>
                <w:sz w:val="24"/>
                <w:szCs w:val="24"/>
              </w:rPr>
              <w:t>门窗</w:t>
            </w:r>
          </w:p>
        </w:tc>
        <w:tc>
          <w:tcPr>
            <w:tcW w:w="2130" w:type="dxa"/>
            <w:tcBorders>
              <w:top w:val="nil"/>
              <w:left w:val="nil"/>
              <w:bottom w:val="single" w:color="auto" w:sz="4" w:space="0"/>
              <w:right w:val="single" w:color="auto" w:sz="4" w:space="0"/>
            </w:tcBorders>
            <w:vAlign w:val="center"/>
          </w:tcPr>
          <w:p>
            <w:pPr>
              <w:spacing w:line="360" w:lineRule="auto"/>
              <w:jc w:val="center"/>
              <w:rPr>
                <w:rFonts w:hint="eastAsia" w:ascii="仿宋" w:hAnsi="仿宋" w:eastAsia="仿宋"/>
                <w:sz w:val="24"/>
                <w:szCs w:val="24"/>
                <w:lang w:val="en-US" w:eastAsia="zh-CN"/>
              </w:rPr>
            </w:pPr>
            <w:r>
              <w:rPr>
                <w:rFonts w:hint="eastAsia" w:ascii="仿宋" w:hAnsi="仿宋" w:eastAsia="仿宋"/>
                <w:sz w:val="24"/>
                <w:szCs w:val="24"/>
                <w:lang w:eastAsia="zh-CN"/>
              </w:rPr>
              <w:t>门：</w:t>
            </w:r>
            <w:r>
              <w:rPr>
                <w:rFonts w:hint="eastAsia" w:ascii="仿宋" w:hAnsi="仿宋" w:eastAsia="仿宋"/>
                <w:sz w:val="24"/>
                <w:szCs w:val="24"/>
                <w:lang w:val="en-US" w:eastAsia="zh-CN"/>
              </w:rPr>
              <w:t>0.9*2.1</w:t>
            </w:r>
          </w:p>
          <w:p>
            <w:pPr>
              <w:spacing w:line="360" w:lineRule="auto"/>
              <w:jc w:val="center"/>
              <w:rPr>
                <w:rFonts w:hint="default" w:ascii="仿宋" w:hAnsi="仿宋" w:eastAsia="仿宋"/>
                <w:sz w:val="24"/>
                <w:szCs w:val="24"/>
                <w:lang w:val="en-US" w:eastAsia="zh-CN"/>
              </w:rPr>
            </w:pPr>
            <w:r>
              <w:rPr>
                <w:rFonts w:hint="eastAsia" w:ascii="仿宋" w:hAnsi="仿宋" w:eastAsia="仿宋"/>
                <w:sz w:val="24"/>
                <w:szCs w:val="24"/>
                <w:lang w:val="en-US" w:eastAsia="zh-CN"/>
              </w:rPr>
              <w:t>窗：1*2；1.8*2</w:t>
            </w:r>
          </w:p>
        </w:tc>
        <w:tc>
          <w:tcPr>
            <w:tcW w:w="490"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仿宋" w:hAnsi="仿宋" w:eastAsia="仿宋"/>
                <w:sz w:val="24"/>
                <w:szCs w:val="24"/>
                <w:lang w:val="en-US" w:eastAsia="zh-CN"/>
              </w:rPr>
            </w:pPr>
            <w:r>
              <w:rPr>
                <w:rFonts w:hint="eastAsia" w:ascii="仿宋" w:hAnsi="仿宋" w:eastAsia="仿宋"/>
                <w:sz w:val="24"/>
                <w:szCs w:val="24"/>
                <w:lang w:val="en-US" w:eastAsia="zh-CN"/>
              </w:rPr>
              <w:t>M2</w:t>
            </w:r>
          </w:p>
        </w:tc>
        <w:tc>
          <w:tcPr>
            <w:tcW w:w="1040" w:type="dxa"/>
            <w:tcBorders>
              <w:top w:val="nil"/>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22.47</w:t>
            </w:r>
          </w:p>
        </w:tc>
        <w:tc>
          <w:tcPr>
            <w:tcW w:w="2010" w:type="dxa"/>
            <w:tcBorders>
              <w:top w:val="single" w:color="auto" w:sz="4" w:space="0"/>
              <w:left w:val="nil"/>
              <w:bottom w:val="single" w:color="auto" w:sz="4" w:space="0"/>
              <w:right w:val="single" w:color="auto" w:sz="4" w:space="0"/>
            </w:tcBorders>
            <w:vAlign w:val="center"/>
          </w:tcPr>
          <w:p>
            <w:pPr>
              <w:spacing w:line="360" w:lineRule="auto"/>
              <w:jc w:val="both"/>
              <w:rPr>
                <w:rFonts w:hint="default" w:ascii="仿宋" w:hAnsi="仿宋" w:eastAsia="仿宋"/>
                <w:sz w:val="24"/>
                <w:szCs w:val="24"/>
                <w:lang w:val="en-US" w:eastAsia="zh-CN"/>
              </w:rPr>
            </w:pPr>
            <w:r>
              <w:rPr>
                <w:rFonts w:hint="eastAsia" w:ascii="仿宋" w:hAnsi="仿宋" w:eastAsia="仿宋"/>
                <w:sz w:val="24"/>
                <w:szCs w:val="24"/>
                <w:lang w:val="en-US" w:eastAsia="zh-CN"/>
              </w:rPr>
              <w:t>铝合金门窗，每间办公用房1樘门，2樘窗户</w:t>
            </w:r>
          </w:p>
        </w:tc>
      </w:tr>
      <w:tr>
        <w:tblPrEx>
          <w:tblCellMar>
            <w:top w:w="0" w:type="dxa"/>
            <w:left w:w="0" w:type="dxa"/>
            <w:bottom w:w="0" w:type="dxa"/>
            <w:right w:w="0" w:type="dxa"/>
          </w:tblCellMar>
        </w:tblPrEx>
        <w:trPr>
          <w:trHeight w:val="843" w:hRule="atLeast"/>
        </w:trPr>
        <w:tc>
          <w:tcPr>
            <w:tcW w:w="567" w:type="dxa"/>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sz w:val="24"/>
                <w:szCs w:val="24"/>
              </w:rPr>
            </w:pPr>
            <w:r>
              <w:rPr>
                <w:rFonts w:hint="eastAsia" w:ascii="仿宋" w:hAnsi="仿宋" w:eastAsia="仿宋"/>
                <w:sz w:val="24"/>
                <w:szCs w:val="24"/>
              </w:rPr>
              <w:t>5</w:t>
            </w:r>
          </w:p>
        </w:tc>
        <w:tc>
          <w:tcPr>
            <w:tcW w:w="2483" w:type="dxa"/>
            <w:tcBorders>
              <w:top w:val="nil"/>
              <w:left w:val="nil"/>
              <w:bottom w:val="single" w:color="auto" w:sz="4" w:space="0"/>
              <w:right w:val="single" w:color="auto" w:sz="4" w:space="0"/>
            </w:tcBorders>
            <w:vAlign w:val="center"/>
          </w:tcPr>
          <w:p>
            <w:pPr>
              <w:adjustRightInd w:val="0"/>
              <w:snapToGrid w:val="0"/>
              <w:spacing w:line="360" w:lineRule="auto"/>
              <w:jc w:val="center"/>
              <w:rPr>
                <w:rFonts w:hint="eastAsia" w:ascii="仿宋" w:hAnsi="仿宋" w:eastAsia="仿宋"/>
                <w:sz w:val="24"/>
                <w:szCs w:val="24"/>
              </w:rPr>
            </w:pPr>
            <w:r>
              <w:rPr>
                <w:rFonts w:hint="eastAsia" w:ascii="仿宋" w:hAnsi="仿宋" w:eastAsia="仿宋"/>
                <w:sz w:val="24"/>
                <w:szCs w:val="24"/>
              </w:rPr>
              <w:t>水电管件</w:t>
            </w:r>
          </w:p>
        </w:tc>
        <w:tc>
          <w:tcPr>
            <w:tcW w:w="2130" w:type="dxa"/>
            <w:tcBorders>
              <w:top w:val="nil"/>
              <w:left w:val="nil"/>
              <w:bottom w:val="single" w:color="auto" w:sz="4" w:space="0"/>
              <w:right w:val="single" w:color="auto" w:sz="4" w:space="0"/>
            </w:tcBorders>
            <w:vAlign w:val="center"/>
          </w:tcPr>
          <w:p>
            <w:pPr>
              <w:spacing w:line="360" w:lineRule="auto"/>
              <w:jc w:val="center"/>
              <w:rPr>
                <w:rFonts w:hint="eastAsia" w:ascii="仿宋" w:hAnsi="仿宋" w:eastAsia="仿宋"/>
                <w:sz w:val="24"/>
                <w:szCs w:val="24"/>
                <w:lang w:eastAsia="zh-CN"/>
              </w:rPr>
            </w:pPr>
            <w:r>
              <w:rPr>
                <w:rFonts w:hint="eastAsia" w:ascii="仿宋" w:hAnsi="仿宋" w:eastAsia="仿宋"/>
                <w:sz w:val="24"/>
                <w:szCs w:val="24"/>
                <w:lang w:eastAsia="zh-CN"/>
              </w:rPr>
              <w:t>集成吊顶灯、开关、插座</w:t>
            </w:r>
          </w:p>
          <w:p>
            <w:pPr>
              <w:spacing w:line="360" w:lineRule="auto"/>
              <w:jc w:val="center"/>
              <w:rPr>
                <w:rFonts w:hint="eastAsia" w:ascii="仿宋" w:hAnsi="仿宋" w:eastAsia="仿宋"/>
                <w:sz w:val="24"/>
                <w:szCs w:val="24"/>
                <w:lang w:eastAsia="zh-CN"/>
              </w:rPr>
            </w:pPr>
            <w:r>
              <w:rPr>
                <w:rFonts w:hint="eastAsia" w:ascii="仿宋" w:hAnsi="仿宋" w:eastAsia="仿宋"/>
                <w:sz w:val="24"/>
                <w:szCs w:val="24"/>
                <w:lang w:eastAsia="zh-CN"/>
              </w:rPr>
              <w:t>厨房接水</w:t>
            </w:r>
          </w:p>
        </w:tc>
        <w:tc>
          <w:tcPr>
            <w:tcW w:w="490"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仿宋" w:hAnsi="仿宋" w:eastAsia="仿宋"/>
                <w:sz w:val="24"/>
                <w:szCs w:val="24"/>
                <w:lang w:val="en-US" w:eastAsia="zh-CN"/>
              </w:rPr>
            </w:pPr>
            <w:r>
              <w:rPr>
                <w:rFonts w:hint="eastAsia" w:ascii="仿宋" w:hAnsi="仿宋" w:eastAsia="仿宋"/>
                <w:sz w:val="24"/>
                <w:szCs w:val="24"/>
                <w:lang w:val="en-US" w:eastAsia="zh-CN"/>
              </w:rPr>
              <w:t>项</w:t>
            </w:r>
          </w:p>
        </w:tc>
        <w:tc>
          <w:tcPr>
            <w:tcW w:w="1040" w:type="dxa"/>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w:t>
            </w:r>
          </w:p>
        </w:tc>
        <w:tc>
          <w:tcPr>
            <w:tcW w:w="2010" w:type="dxa"/>
            <w:tcBorders>
              <w:top w:val="single" w:color="auto" w:sz="4" w:space="0"/>
              <w:left w:val="nil"/>
              <w:bottom w:val="single" w:color="auto" w:sz="4" w:space="0"/>
              <w:right w:val="single" w:color="auto" w:sz="4" w:space="0"/>
            </w:tcBorders>
            <w:vAlign w:val="center"/>
          </w:tcPr>
          <w:p>
            <w:pPr>
              <w:spacing w:line="360" w:lineRule="auto"/>
              <w:jc w:val="both"/>
              <w:rPr>
                <w:rFonts w:hint="default" w:ascii="仿宋" w:hAnsi="仿宋" w:eastAsia="仿宋"/>
                <w:sz w:val="24"/>
                <w:szCs w:val="24"/>
                <w:lang w:val="en-US" w:eastAsia="zh-CN"/>
              </w:rPr>
            </w:pPr>
            <w:r>
              <w:rPr>
                <w:rFonts w:hint="eastAsia" w:ascii="仿宋" w:hAnsi="仿宋" w:eastAsia="仿宋"/>
                <w:sz w:val="24"/>
                <w:szCs w:val="24"/>
                <w:lang w:eastAsia="zh-CN"/>
              </w:rPr>
              <w:t>每间办公用房吊顶安装</w:t>
            </w:r>
            <w:r>
              <w:rPr>
                <w:rFonts w:hint="eastAsia" w:ascii="仿宋" w:hAnsi="仿宋" w:eastAsia="仿宋"/>
                <w:sz w:val="24"/>
                <w:szCs w:val="24"/>
                <w:lang w:val="en-US" w:eastAsia="zh-CN"/>
              </w:rPr>
              <w:t>3盏集成吊顶灯，2个开关，插座</w:t>
            </w:r>
          </w:p>
        </w:tc>
      </w:tr>
      <w:tr>
        <w:tblPrEx>
          <w:tblCellMar>
            <w:top w:w="0" w:type="dxa"/>
            <w:left w:w="0" w:type="dxa"/>
            <w:bottom w:w="0" w:type="dxa"/>
            <w:right w:w="0" w:type="dxa"/>
          </w:tblCellMar>
        </w:tblPrEx>
        <w:trPr>
          <w:trHeight w:val="843" w:hRule="atLeast"/>
        </w:trPr>
        <w:tc>
          <w:tcPr>
            <w:tcW w:w="567" w:type="dxa"/>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sz w:val="24"/>
                <w:szCs w:val="24"/>
              </w:rPr>
            </w:pPr>
            <w:r>
              <w:rPr>
                <w:rFonts w:hint="eastAsia" w:ascii="仿宋" w:hAnsi="仿宋" w:eastAsia="仿宋"/>
                <w:sz w:val="24"/>
                <w:szCs w:val="24"/>
              </w:rPr>
              <w:t>6</w:t>
            </w:r>
          </w:p>
        </w:tc>
        <w:tc>
          <w:tcPr>
            <w:tcW w:w="2483" w:type="dxa"/>
            <w:tcBorders>
              <w:top w:val="nil"/>
              <w:left w:val="nil"/>
              <w:bottom w:val="single" w:color="auto" w:sz="4" w:space="0"/>
              <w:right w:val="single" w:color="auto" w:sz="4" w:space="0"/>
            </w:tcBorders>
            <w:vAlign w:val="center"/>
          </w:tcPr>
          <w:p>
            <w:pPr>
              <w:adjustRightInd w:val="0"/>
              <w:snapToGrid w:val="0"/>
              <w:spacing w:line="360" w:lineRule="auto"/>
              <w:jc w:val="center"/>
              <w:rPr>
                <w:rFonts w:hint="eastAsia" w:ascii="仿宋" w:hAnsi="仿宋" w:eastAsia="仿宋"/>
                <w:sz w:val="24"/>
                <w:szCs w:val="24"/>
              </w:rPr>
            </w:pPr>
            <w:r>
              <w:rPr>
                <w:rFonts w:hint="eastAsia" w:ascii="仿宋" w:hAnsi="仿宋" w:eastAsia="仿宋"/>
                <w:sz w:val="24"/>
                <w:szCs w:val="24"/>
              </w:rPr>
              <w:t>墙面净化板</w:t>
            </w:r>
          </w:p>
        </w:tc>
        <w:tc>
          <w:tcPr>
            <w:tcW w:w="2130" w:type="dxa"/>
            <w:tcBorders>
              <w:top w:val="nil"/>
              <w:left w:val="nil"/>
              <w:bottom w:val="single" w:color="auto" w:sz="4" w:space="0"/>
              <w:right w:val="single" w:color="auto" w:sz="4" w:space="0"/>
            </w:tcBorders>
            <w:vAlign w:val="center"/>
          </w:tcPr>
          <w:p>
            <w:pPr>
              <w:spacing w:line="360" w:lineRule="auto"/>
              <w:jc w:val="center"/>
              <w:rPr>
                <w:rFonts w:hint="eastAsia" w:ascii="仿宋" w:hAnsi="仿宋" w:eastAsia="仿宋"/>
                <w:sz w:val="24"/>
                <w:szCs w:val="24"/>
                <w:lang w:eastAsia="zh-CN"/>
              </w:rPr>
            </w:pPr>
            <w:r>
              <w:rPr>
                <w:rFonts w:hint="eastAsia" w:ascii="仿宋" w:hAnsi="仿宋" w:eastAsia="仿宋"/>
                <w:sz w:val="24"/>
                <w:szCs w:val="24"/>
                <w:lang w:eastAsia="zh-CN"/>
              </w:rPr>
              <w:t>墙面板</w:t>
            </w:r>
          </w:p>
        </w:tc>
        <w:tc>
          <w:tcPr>
            <w:tcW w:w="490"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仿宋" w:hAnsi="仿宋" w:eastAsia="仿宋"/>
                <w:sz w:val="24"/>
                <w:szCs w:val="24"/>
                <w:lang w:val="en-US" w:eastAsia="zh-CN"/>
              </w:rPr>
            </w:pPr>
            <w:r>
              <w:rPr>
                <w:rFonts w:hint="eastAsia" w:ascii="仿宋" w:hAnsi="仿宋" w:eastAsia="仿宋"/>
                <w:sz w:val="24"/>
                <w:szCs w:val="24"/>
                <w:lang w:val="en-US" w:eastAsia="zh-CN"/>
              </w:rPr>
              <w:t>M2</w:t>
            </w:r>
          </w:p>
        </w:tc>
        <w:tc>
          <w:tcPr>
            <w:tcW w:w="1040" w:type="dxa"/>
            <w:tcBorders>
              <w:top w:val="nil"/>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163.53</w:t>
            </w:r>
          </w:p>
        </w:tc>
        <w:tc>
          <w:tcPr>
            <w:tcW w:w="201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 w:hAnsi="仿宋" w:eastAsia="仿宋"/>
                <w:sz w:val="24"/>
                <w:szCs w:val="24"/>
              </w:rPr>
            </w:pPr>
            <w:r>
              <w:rPr>
                <w:rFonts w:hint="eastAsia" w:ascii="仿宋" w:hAnsi="仿宋" w:eastAsia="仿宋"/>
                <w:sz w:val="24"/>
                <w:szCs w:val="24"/>
              </w:rPr>
              <w:t>绿色环保彩钢板，无毒无负作用</w:t>
            </w:r>
          </w:p>
        </w:tc>
      </w:tr>
      <w:tr>
        <w:tblPrEx>
          <w:tblCellMar>
            <w:top w:w="0" w:type="dxa"/>
            <w:left w:w="0" w:type="dxa"/>
            <w:bottom w:w="0" w:type="dxa"/>
            <w:right w:w="0" w:type="dxa"/>
          </w:tblCellMar>
        </w:tblPrEx>
        <w:trPr>
          <w:trHeight w:val="1295" w:hRule="atLeast"/>
        </w:trPr>
        <w:tc>
          <w:tcPr>
            <w:tcW w:w="567"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7</w:t>
            </w:r>
          </w:p>
        </w:tc>
        <w:tc>
          <w:tcPr>
            <w:tcW w:w="24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混凝土（含石子垫层）</w:t>
            </w:r>
          </w:p>
        </w:tc>
        <w:tc>
          <w:tcPr>
            <w:tcW w:w="2130"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C30</w:t>
            </w:r>
          </w:p>
        </w:tc>
        <w:tc>
          <w:tcPr>
            <w:tcW w:w="490"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M3</w:t>
            </w:r>
          </w:p>
        </w:tc>
        <w:tc>
          <w:tcPr>
            <w:tcW w:w="1040"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45</w:t>
            </w:r>
          </w:p>
        </w:tc>
        <w:tc>
          <w:tcPr>
            <w:tcW w:w="2010" w:type="dxa"/>
            <w:tcBorders>
              <w:top w:val="nil"/>
              <w:left w:val="nil"/>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钢筋石子混凝土垫层30cm</w:t>
            </w:r>
          </w:p>
        </w:tc>
      </w:tr>
      <w:tr>
        <w:tblPrEx>
          <w:tblCellMar>
            <w:top w:w="0" w:type="dxa"/>
            <w:left w:w="0" w:type="dxa"/>
            <w:bottom w:w="0" w:type="dxa"/>
            <w:right w:w="0" w:type="dxa"/>
          </w:tblCellMar>
        </w:tblPrEx>
        <w:trPr>
          <w:trHeight w:val="319" w:hRule="atLeast"/>
        </w:trPr>
        <w:tc>
          <w:tcPr>
            <w:tcW w:w="567"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8</w:t>
            </w:r>
          </w:p>
        </w:tc>
        <w:tc>
          <w:tcPr>
            <w:tcW w:w="24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厨房餐具</w:t>
            </w:r>
          </w:p>
        </w:tc>
        <w:tc>
          <w:tcPr>
            <w:tcW w:w="2130"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 xml:space="preserve">   </w:t>
            </w:r>
          </w:p>
        </w:tc>
        <w:tc>
          <w:tcPr>
            <w:tcW w:w="490"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项</w:t>
            </w:r>
          </w:p>
        </w:tc>
        <w:tc>
          <w:tcPr>
            <w:tcW w:w="1040"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1</w:t>
            </w:r>
          </w:p>
        </w:tc>
        <w:tc>
          <w:tcPr>
            <w:tcW w:w="2010"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不锈钢商用灶具</w:t>
            </w:r>
          </w:p>
        </w:tc>
      </w:tr>
      <w:tr>
        <w:tblPrEx>
          <w:tblCellMar>
            <w:top w:w="0" w:type="dxa"/>
            <w:left w:w="0" w:type="dxa"/>
            <w:bottom w:w="0" w:type="dxa"/>
            <w:right w:w="0" w:type="dxa"/>
          </w:tblCellMar>
        </w:tblPrEx>
        <w:trPr>
          <w:trHeight w:val="1881" w:hRule="atLeast"/>
        </w:trPr>
        <w:tc>
          <w:tcPr>
            <w:tcW w:w="567"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9</w:t>
            </w:r>
          </w:p>
        </w:tc>
        <w:tc>
          <w:tcPr>
            <w:tcW w:w="2483"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电动车车棚</w:t>
            </w:r>
          </w:p>
        </w:tc>
        <w:tc>
          <w:tcPr>
            <w:tcW w:w="2130"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钢结构</w:t>
            </w:r>
          </w:p>
        </w:tc>
        <w:tc>
          <w:tcPr>
            <w:tcW w:w="490"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M2</w:t>
            </w:r>
          </w:p>
        </w:tc>
        <w:tc>
          <w:tcPr>
            <w:tcW w:w="1040"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22</w:t>
            </w:r>
          </w:p>
        </w:tc>
        <w:tc>
          <w:tcPr>
            <w:tcW w:w="2010" w:type="dxa"/>
            <w:tcBorders>
              <w:top w:val="nil"/>
              <w:left w:val="nil"/>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 xml:space="preserve">高度2.4m、铝合金型材、阻燃B1级、无水滴、无毒气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xNGJkMjA0NTQzY2JjYWI1YjAzNzc4YTE3NTllZGUifQ=="/>
  </w:docVars>
  <w:rsids>
    <w:rsidRoot w:val="004D18C3"/>
    <w:rsid w:val="0002005D"/>
    <w:rsid w:val="00063AAE"/>
    <w:rsid w:val="0012401B"/>
    <w:rsid w:val="00144023"/>
    <w:rsid w:val="001E1C66"/>
    <w:rsid w:val="002A49D8"/>
    <w:rsid w:val="004D18C3"/>
    <w:rsid w:val="005F3CDF"/>
    <w:rsid w:val="006932A7"/>
    <w:rsid w:val="007F2163"/>
    <w:rsid w:val="009F1D76"/>
    <w:rsid w:val="00A76935"/>
    <w:rsid w:val="00B66CB0"/>
    <w:rsid w:val="00B96DE6"/>
    <w:rsid w:val="00BF2519"/>
    <w:rsid w:val="00E754CD"/>
    <w:rsid w:val="00E82998"/>
    <w:rsid w:val="00F45CD8"/>
    <w:rsid w:val="09556C0D"/>
    <w:rsid w:val="126006AE"/>
    <w:rsid w:val="271727E9"/>
    <w:rsid w:val="3B2753A7"/>
    <w:rsid w:val="3B406CBE"/>
    <w:rsid w:val="47CC4A7E"/>
    <w:rsid w:val="52EB4401"/>
    <w:rsid w:val="59191B0B"/>
    <w:rsid w:val="6DE06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4"/>
    <w:qFormat/>
    <w:uiPriority w:val="0"/>
    <w:rPr>
      <w:rFonts w:ascii="楷体_GB2312" w:hAnsi="Arial" w:eastAsia="楷体_GB2312" w:cs="Times New Roman"/>
      <w:sz w:val="28"/>
      <w:szCs w:val="28"/>
    </w:rPr>
  </w:style>
  <w:style w:type="paragraph" w:styleId="4">
    <w:name w:val="Body Text 2"/>
    <w:basedOn w:val="1"/>
    <w:link w:val="15"/>
    <w:semiHidden/>
    <w:unhideWhenUsed/>
    <w:qFormat/>
    <w:uiPriority w:val="99"/>
    <w:pPr>
      <w:spacing w:after="120" w:line="480" w:lineRule="auto"/>
    </w:p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character" w:customStyle="1" w:styleId="12">
    <w:name w:val="标题 1 Char"/>
    <w:basedOn w:val="9"/>
    <w:link w:val="2"/>
    <w:qFormat/>
    <w:uiPriority w:val="9"/>
    <w:rPr>
      <w:b/>
      <w:bCs/>
      <w:kern w:val="44"/>
      <w:sz w:val="44"/>
      <w:szCs w:val="44"/>
    </w:rPr>
  </w:style>
  <w:style w:type="character" w:customStyle="1" w:styleId="13">
    <w:name w:val="正文文本 Char"/>
    <w:basedOn w:val="9"/>
    <w:link w:val="3"/>
    <w:semiHidden/>
    <w:qFormat/>
    <w:uiPriority w:val="99"/>
  </w:style>
  <w:style w:type="character" w:customStyle="1" w:styleId="14">
    <w:name w:val="正文文本 Char1"/>
    <w:basedOn w:val="9"/>
    <w:link w:val="3"/>
    <w:qFormat/>
    <w:uiPriority w:val="0"/>
    <w:rPr>
      <w:rFonts w:ascii="楷体_GB2312" w:hAnsi="Arial" w:eastAsia="楷体_GB2312" w:cs="Times New Roman"/>
      <w:sz w:val="28"/>
      <w:szCs w:val="28"/>
    </w:rPr>
  </w:style>
  <w:style w:type="character" w:customStyle="1" w:styleId="15">
    <w:name w:val="正文文本 2 Char"/>
    <w:basedOn w:val="9"/>
    <w:link w:val="4"/>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1728</Words>
  <Characters>1869</Characters>
  <Lines>12</Lines>
  <Paragraphs>3</Paragraphs>
  <TotalTime>35</TotalTime>
  <ScaleCrop>false</ScaleCrop>
  <LinksUpToDate>false</LinksUpToDate>
  <CharactersWithSpaces>1945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2023-05-04T08:13:00Z</dcterms:created>
  <dc:creator>Microsoft</dc:creator>
  <cp:lastModifiedBy>凉薄。</cp:lastModifiedBy>
  <dcterms:modified xsi:type="dcterms:W3CDTF">2023-05-30T06:06:36Z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5D4D15AC593A40C180782C0E8D3AF4D3_13</vt:lpwstr>
  </property>
</Properties>
</file>