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hd w:val="clear" w:color="auto" w:fill="FFFFFF"/>
        <w:spacing w:before="0" w:beforeAutospacing="0" w:after="0" w:afterAutospacing="0" w:line="360" w:lineRule="atLeast"/>
        <w:ind w:firstLine="480"/>
        <w:jc w:val="center"/>
        <w:rPr>
          <w:rFonts w:cs="Arial" w:asciiTheme="minorEastAsia" w:hAnsiTheme="minorEastAsia" w:eastAsiaTheme="minorEastAsia"/>
          <w:b/>
          <w:color w:val="000000"/>
          <w:sz w:val="32"/>
          <w:szCs w:val="32"/>
        </w:rPr>
      </w:pPr>
      <w:r>
        <w:rPr>
          <w:rFonts w:hint="eastAsia" w:cs="Arial" w:asciiTheme="minorEastAsia" w:hAnsiTheme="minorEastAsia" w:eastAsiaTheme="minorEastAsia"/>
          <w:b/>
          <w:color w:val="000000"/>
          <w:sz w:val="32"/>
          <w:szCs w:val="32"/>
        </w:rPr>
        <w:t>扬州市政管网有限公司</w:t>
      </w:r>
    </w:p>
    <w:p>
      <w:pPr>
        <w:pStyle w:val="9"/>
        <w:shd w:val="clear" w:color="auto" w:fill="FFFFFF"/>
        <w:spacing w:before="0" w:beforeAutospacing="0" w:after="0" w:afterAutospacing="0" w:line="360" w:lineRule="atLeast"/>
        <w:ind w:firstLine="480"/>
        <w:jc w:val="center"/>
        <w:rPr>
          <w:rFonts w:cs="Arial" w:asciiTheme="minorEastAsia" w:hAnsiTheme="minorEastAsia" w:eastAsiaTheme="minorEastAsia"/>
          <w:b/>
          <w:color w:val="000000"/>
          <w:sz w:val="32"/>
          <w:szCs w:val="32"/>
        </w:rPr>
      </w:pPr>
      <w:r>
        <w:rPr>
          <w:rFonts w:hint="eastAsia" w:cs="Arial" w:asciiTheme="minorEastAsia" w:hAnsiTheme="minorEastAsia" w:eastAsiaTheme="minorEastAsia"/>
          <w:b/>
          <w:color w:val="000000"/>
          <w:sz w:val="32"/>
          <w:szCs w:val="32"/>
        </w:rPr>
        <w:t>创业园北路污水提升泵站新上630KVA电力外接线路工程</w:t>
      </w:r>
      <w:r>
        <w:rPr>
          <w:rFonts w:cs="Arial" w:asciiTheme="minorEastAsia" w:hAnsiTheme="minorEastAsia" w:eastAsiaTheme="minorEastAsia"/>
          <w:b/>
          <w:color w:val="000000"/>
          <w:sz w:val="32"/>
          <w:szCs w:val="32"/>
        </w:rPr>
        <w:t>招标</w:t>
      </w:r>
      <w:r>
        <w:rPr>
          <w:rFonts w:hint="eastAsia" w:cs="Arial" w:asciiTheme="minorEastAsia" w:hAnsiTheme="minorEastAsia" w:eastAsiaTheme="minorEastAsia"/>
          <w:b/>
          <w:color w:val="000000"/>
          <w:sz w:val="32"/>
          <w:szCs w:val="32"/>
        </w:rPr>
        <w:t>公告</w:t>
      </w:r>
    </w:p>
    <w:p>
      <w:pPr>
        <w:pStyle w:val="9"/>
        <w:shd w:val="clear" w:color="auto" w:fill="FFFFFF"/>
        <w:spacing w:before="0" w:beforeAutospacing="0" w:after="0" w:afterAutospacing="0" w:line="360" w:lineRule="atLeast"/>
        <w:ind w:firstLine="480"/>
        <w:jc w:val="center"/>
        <w:rPr>
          <w:rFonts w:cs="Arial" w:asciiTheme="minorEastAsia" w:hAnsiTheme="minorEastAsia" w:eastAsiaTheme="minorEastAsia"/>
          <w:b/>
          <w:color w:val="000000"/>
        </w:rPr>
      </w:pPr>
    </w:p>
    <w:p>
      <w:pPr>
        <w:pStyle w:val="9"/>
        <w:shd w:val="clear" w:color="auto" w:fill="FFFFFF"/>
        <w:spacing w:before="0" w:beforeAutospacing="0" w:after="0" w:afterAutospacing="0" w:line="360" w:lineRule="auto"/>
        <w:ind w:firstLine="482"/>
        <w:jc w:val="both"/>
        <w:rPr>
          <w:rFonts w:cs="Arial" w:asciiTheme="minorEastAsia" w:hAnsiTheme="minorEastAsia" w:eastAsiaTheme="minorEastAsia"/>
          <w:color w:val="000000"/>
        </w:rPr>
      </w:pPr>
      <w:r>
        <w:rPr>
          <w:rFonts w:hint="eastAsia" w:cs="Arial" w:asciiTheme="minorEastAsia" w:hAnsiTheme="minorEastAsia" w:eastAsiaTheme="minorEastAsia"/>
          <w:color w:val="000000"/>
        </w:rPr>
        <w:t>近期我公司创业园北路污水提升泵站新上630KVA电力外接线工程。为保证创业园北路泵站能及时通电，需对该泵站外接电力进行施工。现就</w:t>
      </w:r>
      <w:r>
        <w:rPr>
          <w:rFonts w:hint="eastAsia" w:cs="Arial" w:asciiTheme="minorEastAsia" w:hAnsiTheme="minorEastAsia" w:eastAsiaTheme="minorEastAsia"/>
          <w:bCs/>
          <w:color w:val="000000"/>
        </w:rPr>
        <w:t>创业园北路泵站将新上630KVA</w:t>
      </w:r>
      <w:r>
        <w:rPr>
          <w:rFonts w:hint="eastAsia" w:cs="Arial" w:asciiTheme="minorEastAsia" w:hAnsiTheme="minorEastAsia" w:eastAsiaTheme="minorEastAsia"/>
          <w:color w:val="000000"/>
        </w:rPr>
        <w:t>电力外接线工程</w:t>
      </w:r>
      <w:r>
        <w:rPr>
          <w:rFonts w:cs="Arial" w:asciiTheme="minorEastAsia" w:hAnsiTheme="minorEastAsia" w:eastAsiaTheme="minorEastAsia"/>
          <w:color w:val="000000"/>
        </w:rPr>
        <w:t>进行</w:t>
      </w:r>
      <w:r>
        <w:rPr>
          <w:rFonts w:hint="eastAsia" w:cs="Arial" w:asciiTheme="minorEastAsia" w:hAnsiTheme="minorEastAsia" w:eastAsiaTheme="minorEastAsia"/>
          <w:color w:val="000000"/>
        </w:rPr>
        <w:t>公开</w:t>
      </w:r>
      <w:r>
        <w:rPr>
          <w:rFonts w:cs="Arial" w:asciiTheme="minorEastAsia" w:hAnsiTheme="minorEastAsia" w:eastAsiaTheme="minorEastAsia"/>
          <w:color w:val="000000"/>
        </w:rPr>
        <w:t>招标比价，具体要求如下：</w:t>
      </w:r>
    </w:p>
    <w:p>
      <w:pPr>
        <w:pStyle w:val="9"/>
        <w:shd w:val="clear" w:color="auto" w:fill="FFFFFF"/>
        <w:spacing w:before="0" w:beforeAutospacing="0" w:after="0" w:afterAutospacing="0" w:line="360" w:lineRule="auto"/>
        <w:ind w:firstLine="480"/>
        <w:jc w:val="both"/>
        <w:outlineLvl w:val="0"/>
        <w:rPr>
          <w:rFonts w:cs="Arial" w:asciiTheme="minorEastAsia" w:hAnsiTheme="minorEastAsia" w:eastAsiaTheme="minorEastAsia"/>
          <w:b/>
          <w:bCs/>
          <w:color w:val="000000"/>
        </w:rPr>
      </w:pPr>
      <w:r>
        <w:rPr>
          <w:rFonts w:cs="Arial" w:asciiTheme="minorEastAsia" w:hAnsiTheme="minorEastAsia" w:eastAsiaTheme="minorEastAsia"/>
          <w:b/>
          <w:bCs/>
          <w:color w:val="000000"/>
        </w:rPr>
        <w:t>一、项目概况</w:t>
      </w:r>
    </w:p>
    <w:p>
      <w:pPr>
        <w:pStyle w:val="9"/>
        <w:shd w:val="clear" w:color="auto" w:fill="FFFFFF"/>
        <w:spacing w:before="0" w:beforeAutospacing="0" w:after="0" w:afterAutospacing="0" w:line="360" w:lineRule="auto"/>
        <w:ind w:firstLine="480"/>
        <w:jc w:val="both"/>
        <w:rPr>
          <w:rFonts w:cs="Arial" w:asciiTheme="minorEastAsia" w:hAnsiTheme="minorEastAsia" w:eastAsiaTheme="minorEastAsia"/>
          <w:color w:val="000000"/>
        </w:rPr>
      </w:pPr>
      <w:r>
        <w:rPr>
          <w:rFonts w:cs="Arial" w:asciiTheme="minorEastAsia" w:hAnsiTheme="minorEastAsia" w:eastAsiaTheme="minorEastAsia"/>
          <w:color w:val="000000"/>
        </w:rPr>
        <w:t>1、项目名称：</w:t>
      </w:r>
      <w:r>
        <w:rPr>
          <w:rFonts w:hint="eastAsia" w:cs="Arial" w:asciiTheme="minorEastAsia" w:hAnsiTheme="minorEastAsia" w:eastAsiaTheme="minorEastAsia"/>
          <w:bCs/>
          <w:color w:val="000000"/>
        </w:rPr>
        <w:t>创业园北路污水提升泵站新上630KVA电力</w:t>
      </w:r>
      <w:r>
        <w:rPr>
          <w:rFonts w:hint="eastAsia" w:cs="Arial" w:asciiTheme="minorEastAsia" w:hAnsiTheme="minorEastAsia" w:eastAsiaTheme="minorEastAsia"/>
          <w:color w:val="000000"/>
        </w:rPr>
        <w:t>外接线路工程</w:t>
      </w:r>
    </w:p>
    <w:p>
      <w:pPr>
        <w:pStyle w:val="9"/>
        <w:shd w:val="clear" w:color="auto" w:fill="FFFFFF"/>
        <w:spacing w:before="0" w:beforeAutospacing="0" w:after="0" w:afterAutospacing="0" w:line="360" w:lineRule="auto"/>
        <w:ind w:firstLine="482"/>
        <w:jc w:val="both"/>
        <w:rPr>
          <w:rFonts w:cs="Arial" w:asciiTheme="minorEastAsia" w:hAnsiTheme="minorEastAsia" w:eastAsiaTheme="minorEastAsia"/>
          <w:color w:val="000000"/>
        </w:rPr>
      </w:pPr>
      <w:r>
        <w:rPr>
          <w:rFonts w:hint="eastAsia" w:cs="Arial" w:asciiTheme="minorEastAsia" w:hAnsiTheme="minorEastAsia" w:eastAsiaTheme="minorEastAsia"/>
          <w:color w:val="000000"/>
        </w:rPr>
        <w:t>2、项目内容：</w:t>
      </w:r>
    </w:p>
    <w:p>
      <w:pPr>
        <w:pStyle w:val="9"/>
        <w:shd w:val="clear" w:color="auto" w:fill="FFFFFF"/>
        <w:spacing w:before="0" w:beforeAutospacing="0" w:after="0" w:afterAutospacing="0" w:line="360" w:lineRule="auto"/>
        <w:ind w:firstLine="482"/>
        <w:jc w:val="both"/>
        <w:rPr>
          <w:rFonts w:cs="Arial" w:asciiTheme="minorEastAsia" w:hAnsiTheme="minorEastAsia" w:eastAsiaTheme="minorEastAsia"/>
          <w:color w:val="000000"/>
        </w:rPr>
      </w:pPr>
      <w:r>
        <w:rPr>
          <w:rFonts w:hint="eastAsia" w:cs="Arial" w:asciiTheme="minorEastAsia" w:hAnsiTheme="minorEastAsia" w:eastAsiaTheme="minorEastAsia"/>
          <w:color w:val="000000"/>
        </w:rPr>
        <w:t>（1）供电图纸设计</w:t>
      </w:r>
      <w:r>
        <w:rPr>
          <w:rFonts w:hint="eastAsia" w:cs="Arial" w:asciiTheme="minorEastAsia" w:hAnsiTheme="minorEastAsia" w:eastAsiaTheme="minorEastAsia"/>
          <w:color w:val="FF0000"/>
          <w:lang w:eastAsia="zh-CN"/>
        </w:rPr>
        <w:t>（</w:t>
      </w:r>
      <w:r>
        <w:rPr>
          <w:rFonts w:hint="eastAsia" w:cs="Arial" w:asciiTheme="minorEastAsia" w:hAnsiTheme="minorEastAsia" w:eastAsiaTheme="minorEastAsia"/>
          <w:color w:val="FF0000"/>
          <w:lang w:val="en-US" w:eastAsia="zh-CN"/>
        </w:rPr>
        <w:t>合同签订后</w:t>
      </w:r>
      <w:r>
        <w:rPr>
          <w:rFonts w:hint="eastAsia" w:cs="Arial" w:asciiTheme="minorEastAsia" w:hAnsiTheme="minorEastAsia" w:eastAsiaTheme="minorEastAsia"/>
          <w:color w:val="FF0000"/>
          <w:lang w:eastAsia="zh-CN"/>
        </w:rPr>
        <w:t>）</w:t>
      </w:r>
      <w:r>
        <w:rPr>
          <w:rFonts w:hint="eastAsia" w:cs="Arial" w:asciiTheme="minorEastAsia" w:hAnsiTheme="minorEastAsia" w:eastAsiaTheme="minorEastAsia"/>
          <w:color w:val="000000"/>
        </w:rPr>
        <w:t>。</w:t>
      </w:r>
    </w:p>
    <w:p>
      <w:pPr>
        <w:pStyle w:val="9"/>
        <w:shd w:val="clear" w:color="auto" w:fill="FFFFFF"/>
        <w:spacing w:before="0" w:beforeAutospacing="0" w:after="0" w:afterAutospacing="0" w:line="360" w:lineRule="auto"/>
        <w:ind w:firstLine="482"/>
        <w:jc w:val="both"/>
        <w:rPr>
          <w:rFonts w:cs="Arial" w:asciiTheme="minorEastAsia" w:hAnsiTheme="minorEastAsia" w:eastAsiaTheme="minorEastAsia"/>
          <w:color w:val="000000"/>
        </w:rPr>
      </w:pPr>
      <w:r>
        <w:rPr>
          <w:rFonts w:hint="eastAsia" w:cs="Arial" w:asciiTheme="minorEastAsia" w:hAnsiTheme="minorEastAsia" w:eastAsiaTheme="minorEastAsia"/>
          <w:color w:val="000000"/>
        </w:rPr>
        <w:t>（2） 线路从创业园北路泵站围墙边杆线敷设管道到创业园北路泵站电房处。</w:t>
      </w:r>
    </w:p>
    <w:p>
      <w:pPr>
        <w:pStyle w:val="9"/>
        <w:shd w:val="clear" w:color="auto" w:fill="FFFFFF"/>
        <w:spacing w:before="0" w:beforeAutospacing="0" w:after="0" w:afterAutospacing="0" w:line="360" w:lineRule="auto"/>
        <w:ind w:firstLine="482"/>
        <w:jc w:val="both"/>
        <w:rPr>
          <w:rFonts w:cs="Arial" w:asciiTheme="minorEastAsia" w:hAnsiTheme="minorEastAsia" w:eastAsiaTheme="minorEastAsia"/>
          <w:color w:val="000000"/>
        </w:rPr>
      </w:pPr>
      <w:r>
        <w:rPr>
          <w:rFonts w:hint="eastAsia" w:cs="Arial" w:asciiTheme="minorEastAsia" w:hAnsiTheme="minorEastAsia" w:eastAsiaTheme="minorEastAsia"/>
          <w:color w:val="000000"/>
        </w:rPr>
        <w:t>（</w:t>
      </w:r>
      <w:r>
        <w:rPr>
          <w:rFonts w:cs="Arial" w:asciiTheme="minorEastAsia" w:hAnsiTheme="minorEastAsia" w:eastAsiaTheme="minorEastAsia"/>
          <w:color w:val="000000"/>
        </w:rPr>
        <w:t>3</w:t>
      </w:r>
      <w:r>
        <w:rPr>
          <w:rFonts w:hint="eastAsia" w:cs="Arial" w:asciiTheme="minorEastAsia" w:hAnsiTheme="minorEastAsia" w:eastAsiaTheme="minorEastAsia"/>
          <w:color w:val="000000"/>
        </w:rPr>
        <w:t>）新建两根DN200电缆管道70米，新建K3电力井4个，YJV</w:t>
      </w:r>
      <w:r>
        <w:rPr>
          <w:rFonts w:cs="Arial" w:asciiTheme="minorEastAsia" w:hAnsiTheme="minorEastAsia" w:eastAsiaTheme="minorEastAsia"/>
          <w:color w:val="000000"/>
        </w:rPr>
        <w:t>22</w:t>
      </w:r>
      <w:r>
        <w:rPr>
          <w:rFonts w:hint="eastAsia" w:cs="Arial" w:asciiTheme="minorEastAsia" w:hAnsiTheme="minorEastAsia" w:eastAsiaTheme="minorEastAsia"/>
          <w:color w:val="000000"/>
        </w:rPr>
        <w:t>-8.7</w:t>
      </w:r>
      <w:r>
        <w:rPr>
          <w:rFonts w:cs="Arial" w:asciiTheme="minorEastAsia" w:hAnsiTheme="minorEastAsia" w:eastAsiaTheme="minorEastAsia"/>
          <w:color w:val="000000"/>
        </w:rPr>
        <w:t>/</w:t>
      </w:r>
      <w:r>
        <w:rPr>
          <w:rFonts w:hint="eastAsia" w:cs="Arial" w:asciiTheme="minorEastAsia" w:hAnsiTheme="minorEastAsia" w:eastAsiaTheme="minorEastAsia"/>
          <w:color w:val="000000"/>
        </w:rPr>
        <w:t>15</w:t>
      </w:r>
      <w:r>
        <w:rPr>
          <w:rFonts w:cs="Arial" w:asciiTheme="minorEastAsia" w:hAnsiTheme="minorEastAsia" w:eastAsiaTheme="minorEastAsia"/>
          <w:color w:val="000000"/>
        </w:rPr>
        <w:t>KV</w:t>
      </w:r>
      <w:r>
        <w:rPr>
          <w:rFonts w:hint="eastAsia" w:cs="Arial" w:asciiTheme="minorEastAsia" w:hAnsiTheme="minorEastAsia" w:eastAsiaTheme="minorEastAsia"/>
          <w:color w:val="000000"/>
        </w:rPr>
        <w:t>-3*70高压电缆约100米采购并敷设。</w:t>
      </w:r>
    </w:p>
    <w:p>
      <w:pPr>
        <w:pStyle w:val="9"/>
        <w:shd w:val="clear" w:color="auto" w:fill="FFFFFF"/>
        <w:spacing w:before="0" w:beforeAutospacing="0" w:after="0" w:afterAutospacing="0" w:line="360" w:lineRule="auto"/>
        <w:ind w:firstLine="482"/>
        <w:jc w:val="both"/>
        <w:rPr>
          <w:rFonts w:cs="Arial" w:asciiTheme="minorEastAsia" w:hAnsiTheme="minorEastAsia" w:eastAsiaTheme="minorEastAsia"/>
          <w:color w:val="FF0000"/>
        </w:rPr>
      </w:pPr>
      <w:r>
        <w:rPr>
          <w:rFonts w:hint="eastAsia" w:cs="Arial" w:asciiTheme="minorEastAsia" w:hAnsiTheme="minorEastAsia" w:eastAsiaTheme="minorEastAsia"/>
          <w:color w:val="000000"/>
        </w:rPr>
        <w:t>（</w:t>
      </w:r>
      <w:r>
        <w:rPr>
          <w:rFonts w:cs="Arial" w:asciiTheme="minorEastAsia" w:hAnsiTheme="minorEastAsia" w:eastAsiaTheme="minorEastAsia"/>
          <w:color w:val="000000"/>
        </w:rPr>
        <w:t>4</w:t>
      </w:r>
      <w:r>
        <w:rPr>
          <w:rFonts w:hint="eastAsia" w:cs="Arial" w:asciiTheme="minorEastAsia" w:hAnsiTheme="minorEastAsia" w:eastAsiaTheme="minorEastAsia"/>
          <w:color w:val="000000"/>
        </w:rPr>
        <w:t>）杆上避雷器、故障指示仪、金具采购及安装、接地敷设，电缆试验、管沟封堵等。</w:t>
      </w:r>
    </w:p>
    <w:p>
      <w:pPr>
        <w:pStyle w:val="9"/>
        <w:shd w:val="clear" w:color="auto" w:fill="FFFFFF"/>
        <w:spacing w:before="0" w:beforeAutospacing="0" w:after="0" w:afterAutospacing="0" w:line="360" w:lineRule="auto"/>
        <w:ind w:firstLine="482"/>
        <w:jc w:val="both"/>
        <w:rPr>
          <w:rFonts w:cs="Arial" w:asciiTheme="minorEastAsia" w:hAnsiTheme="minorEastAsia" w:eastAsiaTheme="minorEastAsia"/>
          <w:color w:val="000000"/>
        </w:rPr>
      </w:pPr>
      <w:r>
        <w:rPr>
          <w:rFonts w:hint="eastAsia" w:cs="Arial" w:asciiTheme="minorEastAsia" w:hAnsiTheme="minorEastAsia" w:eastAsiaTheme="minorEastAsia"/>
          <w:color w:val="000000"/>
        </w:rPr>
        <w:t>（</w:t>
      </w:r>
      <w:r>
        <w:rPr>
          <w:rFonts w:cs="Arial" w:asciiTheme="minorEastAsia" w:hAnsiTheme="minorEastAsia" w:eastAsiaTheme="minorEastAsia"/>
          <w:color w:val="000000"/>
        </w:rPr>
        <w:t>5</w:t>
      </w:r>
      <w:r>
        <w:rPr>
          <w:rFonts w:hint="eastAsia" w:cs="Arial" w:asciiTheme="minorEastAsia" w:hAnsiTheme="minorEastAsia" w:eastAsiaTheme="minorEastAsia"/>
          <w:color w:val="000000"/>
        </w:rPr>
        <w:t>）安全工器具采购及安装。</w:t>
      </w:r>
    </w:p>
    <w:p>
      <w:pPr>
        <w:pStyle w:val="9"/>
        <w:shd w:val="clear" w:color="auto" w:fill="FFFFFF"/>
        <w:spacing w:before="0" w:beforeAutospacing="0" w:after="0" w:afterAutospacing="0" w:line="360" w:lineRule="auto"/>
        <w:ind w:firstLine="482"/>
        <w:jc w:val="both"/>
        <w:rPr>
          <w:rFonts w:cs="Arial" w:asciiTheme="minorEastAsia" w:hAnsiTheme="minorEastAsia" w:eastAsiaTheme="minorEastAsia"/>
          <w:color w:val="000000"/>
        </w:rPr>
      </w:pPr>
      <w:r>
        <w:rPr>
          <w:rFonts w:hint="eastAsia" w:cs="Arial" w:asciiTheme="minorEastAsia" w:hAnsiTheme="minorEastAsia" w:eastAsiaTheme="minorEastAsia"/>
          <w:color w:val="000000"/>
        </w:rPr>
        <w:t>（6）工程竣工报验直至供电公司送电。</w:t>
      </w:r>
    </w:p>
    <w:p>
      <w:pPr>
        <w:pStyle w:val="9"/>
        <w:shd w:val="clear" w:color="auto" w:fill="FFFFFF"/>
        <w:spacing w:before="0" w:beforeAutospacing="0" w:after="0" w:afterAutospacing="0" w:line="360" w:lineRule="auto"/>
        <w:ind w:firstLine="480"/>
        <w:jc w:val="both"/>
        <w:outlineLvl w:val="0"/>
        <w:rPr>
          <w:rFonts w:cs="Arial" w:asciiTheme="minorEastAsia" w:hAnsiTheme="minorEastAsia" w:eastAsiaTheme="minorEastAsia"/>
          <w:b/>
          <w:bCs/>
          <w:color w:val="000000"/>
        </w:rPr>
      </w:pPr>
      <w:r>
        <w:rPr>
          <w:rFonts w:hint="eastAsia" w:cs="Arial" w:asciiTheme="minorEastAsia" w:hAnsiTheme="minorEastAsia" w:eastAsiaTheme="minorEastAsia"/>
          <w:b/>
          <w:bCs/>
          <w:color w:val="000000"/>
        </w:rPr>
        <w:t>二、技术要求</w:t>
      </w:r>
    </w:p>
    <w:p>
      <w:pPr>
        <w:pStyle w:val="9"/>
        <w:shd w:val="clear" w:color="auto" w:fill="FFFFFF"/>
        <w:spacing w:before="0" w:beforeAutospacing="0" w:after="0" w:afterAutospacing="0" w:line="360" w:lineRule="auto"/>
        <w:ind w:firstLine="482"/>
        <w:jc w:val="both"/>
        <w:rPr>
          <w:rFonts w:cs="Arial" w:asciiTheme="minorEastAsia" w:hAnsiTheme="minorEastAsia" w:eastAsiaTheme="minorEastAsia"/>
          <w:color w:val="000000"/>
        </w:rPr>
      </w:pPr>
      <w:r>
        <w:rPr>
          <w:rFonts w:cs="Arial" w:asciiTheme="minorEastAsia" w:hAnsiTheme="minorEastAsia" w:eastAsiaTheme="minorEastAsia"/>
          <w:color w:val="000000"/>
        </w:rPr>
        <w:t>1、</w:t>
      </w:r>
      <w:r>
        <w:rPr>
          <w:rFonts w:hint="eastAsia" w:cs="Arial" w:asciiTheme="minorEastAsia" w:hAnsiTheme="minorEastAsia" w:eastAsiaTheme="minorEastAsia"/>
          <w:color w:val="000000"/>
        </w:rPr>
        <w:t>具备国家及供电部门认可的相应生产资质。</w:t>
      </w:r>
    </w:p>
    <w:p>
      <w:pPr>
        <w:pStyle w:val="9"/>
        <w:shd w:val="clear" w:color="auto" w:fill="FFFFFF"/>
        <w:spacing w:before="0" w:beforeAutospacing="0" w:after="0" w:afterAutospacing="0" w:line="360" w:lineRule="auto"/>
        <w:ind w:firstLine="482"/>
        <w:jc w:val="both"/>
        <w:rPr>
          <w:rFonts w:cs="Arial" w:asciiTheme="minorEastAsia" w:hAnsiTheme="minorEastAsia" w:eastAsiaTheme="minorEastAsia"/>
          <w:color w:val="000000"/>
        </w:rPr>
      </w:pPr>
      <w:r>
        <w:rPr>
          <w:rFonts w:hint="eastAsia" w:cs="Arial" w:asciiTheme="minorEastAsia" w:hAnsiTheme="minorEastAsia" w:eastAsiaTheme="minorEastAsia"/>
          <w:color w:val="000000"/>
        </w:rPr>
        <w:t>2、电缆为江扬、宝胜、上上或同级别品牌。</w:t>
      </w:r>
    </w:p>
    <w:p>
      <w:pPr>
        <w:pStyle w:val="9"/>
        <w:shd w:val="clear" w:color="auto" w:fill="FFFFFF"/>
        <w:spacing w:before="0" w:beforeAutospacing="0" w:after="0" w:afterAutospacing="0" w:line="360" w:lineRule="auto"/>
        <w:ind w:firstLine="482"/>
        <w:jc w:val="both"/>
        <w:rPr>
          <w:rFonts w:cs="Arial" w:asciiTheme="minorEastAsia" w:hAnsiTheme="minorEastAsia" w:eastAsiaTheme="minorEastAsia"/>
          <w:color w:val="000000"/>
        </w:rPr>
      </w:pPr>
      <w:r>
        <w:rPr>
          <w:rFonts w:hint="eastAsia" w:cs="Arial" w:asciiTheme="minorEastAsia" w:hAnsiTheme="minorEastAsia" w:eastAsiaTheme="minorEastAsia"/>
          <w:color w:val="000000"/>
        </w:rPr>
        <w:t>3</w:t>
      </w:r>
      <w:r>
        <w:rPr>
          <w:rFonts w:cs="Arial" w:asciiTheme="minorEastAsia" w:hAnsiTheme="minorEastAsia" w:eastAsiaTheme="minorEastAsia"/>
          <w:color w:val="000000"/>
        </w:rPr>
        <w:t>、中标单位须负责</w:t>
      </w:r>
      <w:r>
        <w:rPr>
          <w:rFonts w:hint="eastAsia" w:cs="Arial" w:asciiTheme="minorEastAsia" w:hAnsiTheme="minorEastAsia" w:eastAsiaTheme="minorEastAsia"/>
          <w:color w:val="000000"/>
        </w:rPr>
        <w:t>协助招标方与供电部门对接，保证招标方按计划送电</w:t>
      </w:r>
      <w:r>
        <w:rPr>
          <w:rFonts w:cs="Arial" w:asciiTheme="minorEastAsia" w:hAnsiTheme="minorEastAsia" w:eastAsiaTheme="minorEastAsia"/>
          <w:color w:val="000000"/>
        </w:rPr>
        <w:t>。</w:t>
      </w:r>
    </w:p>
    <w:p>
      <w:pPr>
        <w:pStyle w:val="9"/>
        <w:shd w:val="clear" w:color="auto" w:fill="FFFFFF"/>
        <w:spacing w:before="0" w:beforeAutospacing="0" w:after="0" w:afterAutospacing="0" w:line="360" w:lineRule="auto"/>
        <w:ind w:firstLine="482"/>
        <w:jc w:val="both"/>
        <w:outlineLvl w:val="0"/>
        <w:rPr>
          <w:rFonts w:cs="Arial" w:asciiTheme="minorEastAsia" w:hAnsiTheme="minorEastAsia" w:eastAsiaTheme="minorEastAsia"/>
          <w:b/>
          <w:bCs/>
          <w:color w:val="000000"/>
        </w:rPr>
      </w:pPr>
      <w:r>
        <w:rPr>
          <w:rFonts w:hint="eastAsia" w:cs="Arial" w:asciiTheme="minorEastAsia" w:hAnsiTheme="minorEastAsia" w:eastAsiaTheme="minorEastAsia"/>
          <w:b/>
          <w:bCs/>
          <w:color w:val="000000"/>
        </w:rPr>
        <w:t>三</w:t>
      </w:r>
      <w:r>
        <w:rPr>
          <w:rFonts w:cs="Arial" w:asciiTheme="minorEastAsia" w:hAnsiTheme="minorEastAsia" w:eastAsiaTheme="minorEastAsia"/>
          <w:b/>
          <w:bCs/>
          <w:color w:val="000000"/>
        </w:rPr>
        <w:t>、</w:t>
      </w:r>
      <w:r>
        <w:rPr>
          <w:rFonts w:hint="eastAsia" w:cs="Arial" w:asciiTheme="minorEastAsia" w:hAnsiTheme="minorEastAsia" w:eastAsiaTheme="minorEastAsia"/>
          <w:b/>
          <w:bCs/>
          <w:color w:val="000000"/>
        </w:rPr>
        <w:t>资质要求</w:t>
      </w:r>
    </w:p>
    <w:p>
      <w:pPr>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1、具备独立的法人资格；</w:t>
      </w:r>
    </w:p>
    <w:p>
      <w:pPr>
        <w:spacing w:line="360" w:lineRule="auto"/>
        <w:ind w:left="479" w:leftChars="228"/>
        <w:rPr>
          <w:rFonts w:cs="宋体" w:asciiTheme="minorEastAsia" w:hAnsiTheme="minorEastAsia"/>
          <w:sz w:val="24"/>
          <w:szCs w:val="24"/>
        </w:rPr>
      </w:pPr>
      <w:r>
        <w:rPr>
          <w:rFonts w:hint="eastAsia" w:cs="宋体" w:asciiTheme="minorEastAsia" w:hAnsiTheme="minorEastAsia"/>
          <w:sz w:val="24"/>
          <w:szCs w:val="24"/>
        </w:rPr>
        <w:t>2、投标人必须同时具备以下资质：</w:t>
      </w:r>
      <w:r>
        <w:rPr>
          <w:rFonts w:cs="宋体" w:asciiTheme="minorEastAsia" w:hAnsiTheme="minorEastAsia"/>
          <w:sz w:val="24"/>
          <w:szCs w:val="24"/>
        </w:rPr>
        <w:cr/>
      </w:r>
      <w:r>
        <w:rPr>
          <w:rFonts w:cs="宋体" w:asciiTheme="minorEastAsia" w:hAnsiTheme="minorEastAsia"/>
          <w:sz w:val="24"/>
          <w:szCs w:val="24"/>
        </w:rPr>
        <w:t>①电力工程施工总承包三级及以上资质</w:t>
      </w:r>
      <w:r>
        <w:rPr>
          <w:rFonts w:hint="eastAsia" w:cs="宋体" w:asciiTheme="minorEastAsia" w:hAnsiTheme="minorEastAsia"/>
          <w:sz w:val="24"/>
          <w:szCs w:val="24"/>
        </w:rPr>
        <w:t>或</w:t>
      </w:r>
      <w:r>
        <w:rPr>
          <w:rFonts w:cs="宋体" w:asciiTheme="minorEastAsia" w:hAnsiTheme="minorEastAsia"/>
          <w:sz w:val="24"/>
          <w:szCs w:val="24"/>
        </w:rPr>
        <w:t>输变电工程专业承包三级及以上资质</w:t>
      </w:r>
      <w:r>
        <w:rPr>
          <w:rFonts w:cs="宋体" w:asciiTheme="minorEastAsia" w:hAnsiTheme="minorEastAsia"/>
          <w:sz w:val="24"/>
          <w:szCs w:val="24"/>
        </w:rPr>
        <w:cr/>
      </w:r>
      <w:r>
        <w:rPr>
          <w:rFonts w:cs="宋体" w:asciiTheme="minorEastAsia" w:hAnsiTheme="minorEastAsia"/>
          <w:sz w:val="24"/>
          <w:szCs w:val="24"/>
        </w:rPr>
        <w:t>②具有国家能源局或电监会颁发的承装类、承修类、承试类</w:t>
      </w:r>
      <w:r>
        <w:rPr>
          <w:rFonts w:hint="eastAsia" w:cs="宋体" w:asciiTheme="minorEastAsia" w:hAnsiTheme="minorEastAsia"/>
          <w:sz w:val="24"/>
          <w:szCs w:val="24"/>
        </w:rPr>
        <w:t>五</w:t>
      </w:r>
      <w:r>
        <w:rPr>
          <w:rFonts w:cs="宋体" w:asciiTheme="minorEastAsia" w:hAnsiTheme="minorEastAsia"/>
          <w:sz w:val="24"/>
          <w:szCs w:val="24"/>
        </w:rPr>
        <w:t>级及以上电力设施许可证。</w:t>
      </w:r>
    </w:p>
    <w:p>
      <w:pPr>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3、依法取得安全生产许可证；</w:t>
      </w:r>
    </w:p>
    <w:p>
      <w:pPr>
        <w:pStyle w:val="9"/>
        <w:shd w:val="clear" w:color="auto" w:fill="FFFFFF"/>
        <w:spacing w:before="0" w:beforeAutospacing="0" w:after="0" w:afterAutospacing="0" w:line="360" w:lineRule="auto"/>
        <w:ind w:firstLine="480" w:firstLineChars="200"/>
        <w:jc w:val="both"/>
        <w:outlineLvl w:val="0"/>
        <w:rPr>
          <w:rFonts w:cs="Calibri"/>
          <w:shd w:val="clear" w:color="auto" w:fill="FFFFFF"/>
        </w:rPr>
      </w:pPr>
      <w:r>
        <w:rPr>
          <w:rFonts w:hint="eastAsia" w:asciiTheme="minorEastAsia" w:hAnsiTheme="minorEastAsia" w:eastAsiaTheme="minorEastAsia"/>
        </w:rPr>
        <w:t>4、项目经理资质：</w:t>
      </w:r>
      <w:r>
        <w:rPr>
          <w:rFonts w:hint="eastAsia" w:cs="Calibri" w:asciiTheme="minorEastAsia" w:hAnsiTheme="minorEastAsia" w:eastAsiaTheme="minorEastAsia"/>
          <w:shd w:val="clear" w:color="auto" w:fill="FFFFFF"/>
        </w:rPr>
        <w:t>机电工程专业二级及以上注册建造师资格且具备有效的安全生产考核合格证B证</w:t>
      </w:r>
      <w:r>
        <w:rPr>
          <w:rFonts w:hint="eastAsia" w:cs="Calibri"/>
          <w:shd w:val="clear" w:color="auto" w:fill="FFFFFF"/>
        </w:rPr>
        <w:t>。</w:t>
      </w:r>
    </w:p>
    <w:p>
      <w:pPr>
        <w:pStyle w:val="9"/>
        <w:shd w:val="clear" w:color="auto" w:fill="FFFFFF"/>
        <w:spacing w:before="0" w:beforeAutospacing="0" w:after="0" w:afterAutospacing="0" w:line="360" w:lineRule="auto"/>
        <w:ind w:firstLine="482"/>
        <w:jc w:val="both"/>
        <w:outlineLvl w:val="0"/>
        <w:rPr>
          <w:rFonts w:cs="Arial" w:asciiTheme="minorEastAsia" w:hAnsiTheme="minorEastAsia" w:eastAsiaTheme="minorEastAsia"/>
          <w:b/>
          <w:bCs/>
          <w:color w:val="000000"/>
        </w:rPr>
      </w:pPr>
      <w:r>
        <w:rPr>
          <w:rFonts w:hint="eastAsia" w:cs="Arial" w:asciiTheme="minorEastAsia" w:hAnsiTheme="minorEastAsia" w:eastAsiaTheme="minorEastAsia"/>
          <w:b/>
          <w:bCs/>
          <w:color w:val="000000"/>
        </w:rPr>
        <w:t>四、付款方式及质保要求</w:t>
      </w:r>
    </w:p>
    <w:p>
      <w:pPr>
        <w:spacing w:line="360" w:lineRule="auto"/>
        <w:ind w:firstLine="482"/>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1、通过招标方及电力主管部门验收合格、送电后由招标方支付审定价的9</w:t>
      </w:r>
      <w:r>
        <w:rPr>
          <w:rFonts w:cs="Arial" w:asciiTheme="minorEastAsia" w:hAnsiTheme="minorEastAsia"/>
          <w:color w:val="000000"/>
          <w:kern w:val="0"/>
          <w:sz w:val="24"/>
          <w:szCs w:val="24"/>
        </w:rPr>
        <w:t>5</w:t>
      </w:r>
      <w:r>
        <w:rPr>
          <w:rFonts w:hint="eastAsia" w:cs="Arial" w:asciiTheme="minorEastAsia" w:hAnsiTheme="minorEastAsia"/>
          <w:color w:val="000000"/>
          <w:kern w:val="0"/>
          <w:sz w:val="24"/>
          <w:szCs w:val="24"/>
        </w:rPr>
        <w:t>%，剩余5%为质保金，质保期满后付清。</w:t>
      </w:r>
    </w:p>
    <w:p>
      <w:pPr>
        <w:pStyle w:val="2"/>
        <w:rPr>
          <w:rFonts w:hint="default" w:eastAsiaTheme="minorEastAsia"/>
          <w:color w:val="FF0000"/>
          <w:lang w:val="en-US" w:eastAsia="zh-CN"/>
        </w:rPr>
      </w:pPr>
      <w:bookmarkStart w:id="0" w:name="_GoBack"/>
      <w:r>
        <w:rPr>
          <w:rFonts w:hint="eastAsia" w:cs="Arial" w:asciiTheme="minorEastAsia" w:hAnsiTheme="minorEastAsia"/>
          <w:color w:val="FF0000"/>
          <w:kern w:val="0"/>
          <w:sz w:val="24"/>
          <w:szCs w:val="24"/>
          <w:lang w:val="en-US" w:eastAsia="zh-CN"/>
        </w:rPr>
        <w:t>2、本项目采用固定单价的形式结算，结算价为招标人确定的工作量乘以固定单价。</w:t>
      </w:r>
    </w:p>
    <w:bookmarkEnd w:id="0"/>
    <w:p>
      <w:pPr>
        <w:spacing w:line="360" w:lineRule="auto"/>
        <w:ind w:firstLine="482"/>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3、项目完成后质保期为1年，质保期从设备安装验收合格之日起计算。</w:t>
      </w:r>
    </w:p>
    <w:p>
      <w:pPr>
        <w:spacing w:line="360" w:lineRule="auto"/>
        <w:ind w:firstLine="482"/>
        <w:rPr>
          <w:rFonts w:ascii="微软雅黑" w:hAnsi="微软雅黑" w:eastAsia="微软雅黑"/>
          <w:color w:val="333333"/>
          <w:szCs w:val="21"/>
        </w:rPr>
      </w:pPr>
      <w:r>
        <w:rPr>
          <w:rFonts w:hint="eastAsia" w:cs="Arial" w:asciiTheme="minorEastAsia" w:hAnsiTheme="minorEastAsia"/>
          <w:color w:val="000000"/>
          <w:kern w:val="0"/>
          <w:sz w:val="24"/>
          <w:szCs w:val="24"/>
        </w:rPr>
        <w:t>4、在质保期内如出现因设备质量问题或者更换部件造成的设备故障引起的返工维修或更换，返工所发生的费用由投标人承担。</w:t>
      </w:r>
    </w:p>
    <w:p>
      <w:pPr>
        <w:pStyle w:val="9"/>
        <w:shd w:val="clear" w:color="auto" w:fill="FFFFFF"/>
        <w:spacing w:before="0" w:beforeAutospacing="0" w:after="0" w:afterAutospacing="0" w:line="360" w:lineRule="atLeast"/>
        <w:ind w:firstLine="480"/>
        <w:jc w:val="both"/>
        <w:outlineLvl w:val="0"/>
        <w:rPr>
          <w:rFonts w:cs="Arial" w:asciiTheme="minorEastAsia" w:hAnsiTheme="minorEastAsia" w:eastAsiaTheme="minorEastAsia"/>
          <w:b/>
          <w:bCs/>
          <w:color w:val="000000"/>
        </w:rPr>
      </w:pPr>
      <w:r>
        <w:rPr>
          <w:rFonts w:hint="eastAsia" w:cs="Arial" w:asciiTheme="minorEastAsia" w:hAnsiTheme="minorEastAsia" w:eastAsiaTheme="minorEastAsia"/>
          <w:b/>
          <w:bCs/>
          <w:color w:val="000000"/>
        </w:rPr>
        <w:t>五</w:t>
      </w:r>
      <w:r>
        <w:rPr>
          <w:rFonts w:cs="Arial" w:asciiTheme="minorEastAsia" w:hAnsiTheme="minorEastAsia" w:eastAsiaTheme="minorEastAsia"/>
          <w:b/>
          <w:bCs/>
          <w:color w:val="000000"/>
        </w:rPr>
        <w:t>、</w:t>
      </w:r>
      <w:r>
        <w:rPr>
          <w:rFonts w:hint="eastAsia" w:cs="Arial" w:asciiTheme="minorEastAsia" w:hAnsiTheme="minorEastAsia" w:eastAsiaTheme="minorEastAsia"/>
          <w:b/>
          <w:bCs/>
          <w:color w:val="000000"/>
        </w:rPr>
        <w:t>投标文件</w:t>
      </w:r>
      <w:r>
        <w:rPr>
          <w:rFonts w:cs="Arial" w:asciiTheme="minorEastAsia" w:hAnsiTheme="minorEastAsia" w:eastAsiaTheme="minorEastAsia"/>
          <w:b/>
          <w:bCs/>
          <w:color w:val="000000"/>
        </w:rPr>
        <w:t>要求</w:t>
      </w:r>
    </w:p>
    <w:p>
      <w:pPr>
        <w:pStyle w:val="9"/>
        <w:shd w:val="clear" w:color="auto" w:fill="FFFFFF"/>
        <w:spacing w:before="0" w:beforeAutospacing="0" w:after="0" w:afterAutospacing="0" w:line="360" w:lineRule="auto"/>
        <w:ind w:firstLine="480" w:firstLineChars="200"/>
        <w:jc w:val="both"/>
        <w:rPr>
          <w:rFonts w:cs="Arial" w:asciiTheme="minorEastAsia" w:hAnsiTheme="minorEastAsia" w:eastAsiaTheme="minorEastAsia"/>
          <w:color w:val="000000"/>
        </w:rPr>
      </w:pPr>
      <w:r>
        <w:rPr>
          <w:rFonts w:cs="Arial" w:asciiTheme="minorEastAsia" w:hAnsiTheme="minorEastAsia" w:eastAsiaTheme="minorEastAsia"/>
          <w:color w:val="000000"/>
        </w:rPr>
        <w:t>提供但不限于以下加盖公章复印件材料一套：营业执照、法人委托书及委托人身份证、类似工程业绩证明</w:t>
      </w:r>
      <w:r>
        <w:rPr>
          <w:rFonts w:hint="eastAsia" w:cs="Arial" w:asciiTheme="minorEastAsia" w:hAnsiTheme="minorEastAsia" w:eastAsiaTheme="minorEastAsia"/>
          <w:color w:val="000000"/>
        </w:rPr>
        <w:t>、相应的资质证明</w:t>
      </w:r>
      <w:r>
        <w:rPr>
          <w:rFonts w:cs="Arial" w:asciiTheme="minorEastAsia" w:hAnsiTheme="minorEastAsia" w:eastAsiaTheme="minorEastAsia"/>
          <w:color w:val="000000"/>
        </w:rPr>
        <w:t>等。</w:t>
      </w:r>
      <w:r>
        <w:rPr>
          <w:rFonts w:hint="eastAsia" w:cs="Arial" w:asciiTheme="minorEastAsia" w:hAnsiTheme="minorEastAsia" w:eastAsiaTheme="minorEastAsia"/>
          <w:color w:val="000000"/>
        </w:rPr>
        <w:t>投标文件应密封封装，封面上应写明投标项目名称及投标单位的名称，封面及密封处应加盖企业印章，并经企业法定代表人签字或盖章。</w:t>
      </w:r>
      <w:r>
        <w:rPr>
          <w:rFonts w:hint="eastAsia" w:cs="Arial" w:asciiTheme="minorEastAsia" w:hAnsiTheme="minorEastAsia" w:eastAsiaTheme="minorEastAsia"/>
          <w:b/>
          <w:bCs/>
          <w:color w:val="000000"/>
        </w:rPr>
        <w:t>未按上述规定提交的投标文件，将被视为无效，并原封退还给投标单位。</w:t>
      </w:r>
      <w:r>
        <w:rPr>
          <w:rFonts w:hint="eastAsia" w:cs="Arial" w:asciiTheme="minorEastAsia" w:hAnsiTheme="minorEastAsia" w:eastAsiaTheme="minorEastAsia"/>
          <w:color w:val="000000"/>
        </w:rPr>
        <w:t>投标文件必须包含投标函、法定代表人授权委托书、加盖企业公章的营业执照复印件、有效的资质证书、类似业绩证明、投标报价清单及其他评审所需的材料。</w:t>
      </w:r>
    </w:p>
    <w:p>
      <w:pPr>
        <w:pStyle w:val="9"/>
        <w:shd w:val="clear" w:color="auto" w:fill="FFFFFF"/>
        <w:spacing w:before="0" w:beforeAutospacing="0" w:after="0" w:afterAutospacing="0" w:line="360" w:lineRule="auto"/>
        <w:ind w:firstLine="482"/>
        <w:jc w:val="both"/>
        <w:outlineLvl w:val="0"/>
        <w:rPr>
          <w:rFonts w:cs="Arial" w:asciiTheme="minorEastAsia" w:hAnsiTheme="minorEastAsia" w:eastAsiaTheme="minorEastAsia"/>
          <w:b/>
          <w:bCs/>
          <w:color w:val="000000"/>
        </w:rPr>
      </w:pPr>
      <w:r>
        <w:rPr>
          <w:rFonts w:hint="eastAsia" w:cs="Arial" w:asciiTheme="minorEastAsia" w:hAnsiTheme="minorEastAsia" w:eastAsiaTheme="minorEastAsia"/>
          <w:b/>
          <w:bCs/>
          <w:color w:val="000000"/>
        </w:rPr>
        <w:t>六</w:t>
      </w:r>
      <w:r>
        <w:rPr>
          <w:rFonts w:cs="Arial" w:asciiTheme="minorEastAsia" w:hAnsiTheme="minorEastAsia" w:eastAsiaTheme="minorEastAsia"/>
          <w:b/>
          <w:bCs/>
          <w:color w:val="000000"/>
        </w:rPr>
        <w:t>、报价要求</w:t>
      </w:r>
    </w:p>
    <w:p>
      <w:pPr>
        <w:pStyle w:val="9"/>
        <w:shd w:val="clear" w:color="auto" w:fill="FFFFFF"/>
        <w:spacing w:before="0" w:beforeAutospacing="0" w:after="0" w:afterAutospacing="0" w:line="360" w:lineRule="auto"/>
        <w:ind w:firstLine="482"/>
        <w:jc w:val="both"/>
        <w:rPr>
          <w:rFonts w:cs="Arial" w:asciiTheme="minorEastAsia" w:hAnsiTheme="minorEastAsia" w:eastAsiaTheme="minorEastAsia"/>
          <w:color w:val="FF0000"/>
        </w:rPr>
      </w:pPr>
      <w:r>
        <w:rPr>
          <w:rFonts w:cs="Arial" w:asciiTheme="minorEastAsia" w:hAnsiTheme="minorEastAsia" w:eastAsiaTheme="minorEastAsia"/>
          <w:color w:val="000000"/>
        </w:rPr>
        <w:t>1、本项目的最高限价为人民币</w:t>
      </w:r>
      <w:r>
        <w:rPr>
          <w:rFonts w:hint="eastAsia" w:cs="Arial" w:asciiTheme="minorEastAsia" w:hAnsiTheme="minorEastAsia" w:eastAsiaTheme="minorEastAsia"/>
          <w:color w:val="000000"/>
        </w:rPr>
        <w:t>壹拾叁万</w:t>
      </w:r>
      <w:r>
        <w:rPr>
          <w:rFonts w:cs="Arial" w:asciiTheme="minorEastAsia" w:hAnsiTheme="minorEastAsia" w:eastAsiaTheme="minorEastAsia"/>
          <w:color w:val="000000"/>
        </w:rPr>
        <w:t>元整（￥</w:t>
      </w:r>
      <w:r>
        <w:rPr>
          <w:rFonts w:hint="eastAsia" w:cs="Arial" w:asciiTheme="minorEastAsia" w:hAnsiTheme="minorEastAsia" w:eastAsiaTheme="minorEastAsia"/>
          <w:color w:val="000000"/>
        </w:rPr>
        <w:t>130</w:t>
      </w:r>
      <w:r>
        <w:rPr>
          <w:rFonts w:cs="Arial" w:asciiTheme="minorEastAsia" w:hAnsiTheme="minorEastAsia" w:eastAsiaTheme="minorEastAsia"/>
          <w:color w:val="000000"/>
        </w:rPr>
        <w:t>000.00元），投标人的投标报价超过该最高限价为无效投标。</w:t>
      </w:r>
    </w:p>
    <w:p>
      <w:pPr>
        <w:pStyle w:val="9"/>
        <w:shd w:val="clear" w:color="auto" w:fill="FFFFFF"/>
        <w:spacing w:before="0" w:beforeAutospacing="0" w:after="0" w:afterAutospacing="0" w:line="360" w:lineRule="auto"/>
        <w:ind w:firstLine="482"/>
        <w:jc w:val="both"/>
        <w:rPr>
          <w:rFonts w:cs="Arial" w:asciiTheme="minorEastAsia" w:hAnsiTheme="minorEastAsia" w:eastAsiaTheme="minorEastAsia"/>
          <w:color w:val="000000"/>
        </w:rPr>
      </w:pPr>
      <w:r>
        <w:rPr>
          <w:rFonts w:cs="Arial" w:asciiTheme="minorEastAsia" w:hAnsiTheme="minorEastAsia" w:eastAsiaTheme="minorEastAsia"/>
          <w:color w:val="000000"/>
        </w:rPr>
        <w:t>2、总价及明细组成报价。同时投标人对本项目只能有一个报价，我公司不接受有选择的报价。</w:t>
      </w:r>
    </w:p>
    <w:p>
      <w:pPr>
        <w:pStyle w:val="9"/>
        <w:shd w:val="clear" w:color="auto" w:fill="FFFFFF"/>
        <w:spacing w:before="0" w:beforeAutospacing="0" w:after="0" w:afterAutospacing="0" w:line="360" w:lineRule="atLeast"/>
        <w:ind w:firstLine="480"/>
        <w:jc w:val="both"/>
        <w:outlineLvl w:val="0"/>
        <w:rPr>
          <w:rFonts w:cs="Arial" w:asciiTheme="minorEastAsia" w:hAnsiTheme="minorEastAsia" w:eastAsiaTheme="minorEastAsia"/>
          <w:b/>
          <w:bCs/>
          <w:color w:val="000000"/>
        </w:rPr>
      </w:pPr>
      <w:r>
        <w:rPr>
          <w:rFonts w:hint="eastAsia" w:cs="Arial" w:asciiTheme="minorEastAsia" w:hAnsiTheme="minorEastAsia" w:eastAsiaTheme="minorEastAsia"/>
          <w:b/>
          <w:bCs/>
          <w:color w:val="000000"/>
        </w:rPr>
        <w:t>七</w:t>
      </w:r>
      <w:r>
        <w:rPr>
          <w:rFonts w:cs="Arial" w:asciiTheme="minorEastAsia" w:hAnsiTheme="minorEastAsia" w:eastAsiaTheme="minorEastAsia"/>
          <w:b/>
          <w:bCs/>
          <w:color w:val="000000"/>
        </w:rPr>
        <w:t>、比选方式及原则</w:t>
      </w:r>
    </w:p>
    <w:p>
      <w:pPr>
        <w:pStyle w:val="9"/>
        <w:shd w:val="clear" w:color="auto" w:fill="FFFFFF"/>
        <w:spacing w:before="0" w:beforeAutospacing="0" w:after="0" w:afterAutospacing="0" w:line="360" w:lineRule="auto"/>
        <w:ind w:firstLine="482"/>
        <w:jc w:val="both"/>
        <w:rPr>
          <w:rFonts w:cs="Arial" w:asciiTheme="minorEastAsia" w:hAnsiTheme="minorEastAsia" w:eastAsiaTheme="minorEastAsia"/>
          <w:color w:val="000000"/>
        </w:rPr>
      </w:pPr>
      <w:r>
        <w:rPr>
          <w:rFonts w:hint="eastAsia" w:cs="Arial" w:asciiTheme="minorEastAsia" w:hAnsiTheme="minorEastAsia"/>
          <w:color w:val="000000"/>
        </w:rPr>
        <w:t>1、</w:t>
      </w:r>
      <w:r>
        <w:rPr>
          <w:rFonts w:cs="Arial" w:asciiTheme="minorEastAsia" w:hAnsiTheme="minorEastAsia"/>
          <w:color w:val="000000"/>
        </w:rPr>
        <w:t>投标比选文件收到后，由评标小组对投标文件进行评选，</w:t>
      </w:r>
      <w:r>
        <w:rPr>
          <w:rFonts w:hint="eastAsia" w:cs="Arial" w:asciiTheme="minorEastAsia" w:hAnsiTheme="minorEastAsia"/>
          <w:color w:val="000000"/>
        </w:rPr>
        <w:t>监督小组</w:t>
      </w:r>
      <w:r>
        <w:rPr>
          <w:rFonts w:cs="Arial" w:asciiTheme="minorEastAsia" w:hAnsiTheme="minorEastAsia"/>
          <w:color w:val="000000"/>
        </w:rPr>
        <w:t>全</w:t>
      </w:r>
      <w:r>
        <w:rPr>
          <w:rFonts w:cs="Arial" w:asciiTheme="minorEastAsia" w:hAnsiTheme="minorEastAsia" w:eastAsiaTheme="minorEastAsia"/>
          <w:color w:val="000000"/>
        </w:rPr>
        <w:t>程参与，采用</w:t>
      </w:r>
      <w:r>
        <w:rPr>
          <w:rFonts w:hint="eastAsia" w:cs="Arial" w:asciiTheme="minorEastAsia" w:hAnsiTheme="minorEastAsia" w:eastAsiaTheme="minorEastAsia"/>
          <w:color w:val="000000"/>
        </w:rPr>
        <w:t>综合评分法</w:t>
      </w:r>
      <w:r>
        <w:rPr>
          <w:rFonts w:cs="Arial" w:asciiTheme="minorEastAsia" w:hAnsiTheme="minorEastAsia" w:eastAsiaTheme="minorEastAsia"/>
          <w:color w:val="000000"/>
        </w:rPr>
        <w:t>确定中标单位。</w:t>
      </w:r>
      <w:r>
        <w:rPr>
          <w:rFonts w:hint="eastAsia" w:cs="Arial" w:asciiTheme="minorEastAsia" w:hAnsiTheme="minorEastAsia" w:eastAsiaTheme="minorEastAsia"/>
          <w:color w:val="000000"/>
        </w:rPr>
        <w:t>若招标文件发布次数达到两次，且潜在的投标人少于三家，则招标人有权进行议价模式。</w:t>
      </w:r>
    </w:p>
    <w:p>
      <w:pPr>
        <w:pStyle w:val="9"/>
        <w:shd w:val="clear" w:color="auto" w:fill="FFFFFF"/>
        <w:spacing w:before="0" w:beforeAutospacing="0" w:after="0" w:afterAutospacing="0" w:line="360" w:lineRule="auto"/>
        <w:ind w:firstLine="482"/>
        <w:jc w:val="both"/>
        <w:rPr>
          <w:rFonts w:cs="Arial" w:asciiTheme="minorEastAsia" w:hAnsiTheme="minorEastAsia" w:eastAsiaTheme="minorEastAsia"/>
          <w:color w:val="000000"/>
        </w:rPr>
      </w:pPr>
      <w:r>
        <w:rPr>
          <w:rFonts w:hint="eastAsia" w:cs="Arial" w:asciiTheme="minorEastAsia" w:hAnsiTheme="minorEastAsia" w:eastAsiaTheme="minorEastAsia"/>
          <w:color w:val="000000"/>
        </w:rPr>
        <w:t>2、具体评分标准如下</w:t>
      </w:r>
      <w:r>
        <w:rPr>
          <w:rFonts w:cs="Arial" w:asciiTheme="minorEastAsia" w:hAnsiTheme="minorEastAsia" w:eastAsiaTheme="minorEastAsia"/>
          <w:color w:val="000000"/>
        </w:rPr>
        <w:t>:</w:t>
      </w:r>
    </w:p>
    <w:p>
      <w:pPr>
        <w:pStyle w:val="9"/>
        <w:shd w:val="clear" w:color="auto" w:fill="FFFFFF"/>
        <w:spacing w:before="0" w:beforeAutospacing="0" w:after="0" w:afterAutospacing="0" w:line="360" w:lineRule="auto"/>
        <w:ind w:firstLine="482"/>
        <w:jc w:val="both"/>
        <w:rPr>
          <w:rFonts w:cs="Arial" w:asciiTheme="minorEastAsia" w:hAnsiTheme="minorEastAsia" w:eastAsiaTheme="minorEastAsia"/>
          <w:color w:val="000000"/>
        </w:rPr>
      </w:pPr>
      <w:r>
        <w:rPr>
          <w:rFonts w:hint="eastAsia" w:cs="Arial" w:asciiTheme="minorEastAsia" w:hAnsiTheme="minorEastAsia" w:eastAsiaTheme="minorEastAsia"/>
          <w:color w:val="000000"/>
        </w:rPr>
        <w:t>本次评标采用综合评分法，评标委员会通过对商务、技术等因素的综合评审进行打分，综合得分最高的投标人排名第一，依此类推确定排名顺序，按排名顺序推荐</w:t>
      </w:r>
      <w:r>
        <w:rPr>
          <w:rFonts w:cs="Arial" w:asciiTheme="minorEastAsia" w:hAnsiTheme="minorEastAsia" w:eastAsiaTheme="minorEastAsia"/>
          <w:color w:val="000000"/>
        </w:rPr>
        <w:t>3名中标候选人。</w:t>
      </w:r>
    </w:p>
    <w:tbl>
      <w:tblPr>
        <w:tblStyle w:val="11"/>
        <w:tblW w:w="8383"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4"/>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4" w:type="dxa"/>
            <w:vAlign w:val="center"/>
          </w:tcPr>
          <w:p>
            <w:pPr>
              <w:spacing w:line="360" w:lineRule="auto"/>
              <w:jc w:val="center"/>
              <w:rPr>
                <w:rFonts w:ascii="Calibri" w:hAnsi="Calibri" w:eastAsia="宋体" w:cs="宋体"/>
                <w:sz w:val="24"/>
                <w:szCs w:val="24"/>
              </w:rPr>
            </w:pPr>
            <w:r>
              <w:rPr>
                <w:rFonts w:ascii="Calibri" w:hAnsi="Calibri" w:eastAsia="宋体" w:cs="宋体"/>
                <w:sz w:val="24"/>
                <w:szCs w:val="24"/>
              </w:rPr>
              <w:t>项目</w:t>
            </w:r>
          </w:p>
        </w:tc>
        <w:tc>
          <w:tcPr>
            <w:tcW w:w="6429" w:type="dxa"/>
            <w:vAlign w:val="center"/>
          </w:tcPr>
          <w:p>
            <w:pPr>
              <w:spacing w:line="360" w:lineRule="auto"/>
              <w:jc w:val="center"/>
              <w:rPr>
                <w:rFonts w:ascii="Calibri" w:hAnsi="Calibri" w:eastAsia="宋体" w:cs="宋体"/>
                <w:sz w:val="24"/>
                <w:szCs w:val="24"/>
              </w:rPr>
            </w:pPr>
            <w:r>
              <w:rPr>
                <w:rFonts w:ascii="Calibri" w:hAnsi="Calibri" w:eastAsia="宋体" w:cs="宋体"/>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4" w:type="dxa"/>
            <w:vAlign w:val="center"/>
          </w:tcPr>
          <w:p>
            <w:pPr>
              <w:spacing w:line="360" w:lineRule="auto"/>
              <w:jc w:val="center"/>
              <w:rPr>
                <w:rFonts w:ascii="Calibri" w:hAnsi="Calibri" w:eastAsia="宋体" w:cs="宋体"/>
                <w:sz w:val="24"/>
                <w:szCs w:val="24"/>
              </w:rPr>
            </w:pPr>
            <w:r>
              <w:rPr>
                <w:rFonts w:hint="eastAsia" w:ascii="Calibri" w:hAnsi="Calibri" w:eastAsia="宋体" w:cs="宋体"/>
                <w:sz w:val="24"/>
                <w:szCs w:val="24"/>
              </w:rPr>
              <w:t>价</w:t>
            </w:r>
            <w:r>
              <w:rPr>
                <w:rFonts w:ascii="Calibri" w:hAnsi="Calibri" w:eastAsia="宋体" w:cs="宋体"/>
                <w:sz w:val="24"/>
                <w:szCs w:val="24"/>
              </w:rPr>
              <w:t xml:space="preserve"> 格</w:t>
            </w:r>
          </w:p>
          <w:p>
            <w:pPr>
              <w:spacing w:line="360" w:lineRule="auto"/>
              <w:jc w:val="center"/>
              <w:rPr>
                <w:rFonts w:ascii="Calibri" w:hAnsi="Calibri" w:eastAsia="宋体" w:cs="宋体"/>
                <w:sz w:val="24"/>
                <w:szCs w:val="24"/>
              </w:rPr>
            </w:pPr>
            <w:r>
              <w:rPr>
                <w:rFonts w:ascii="Calibri" w:hAnsi="Calibri" w:eastAsia="宋体" w:cs="宋体"/>
                <w:sz w:val="24"/>
                <w:szCs w:val="24"/>
              </w:rPr>
              <w:t>（</w:t>
            </w:r>
            <w:r>
              <w:rPr>
                <w:rFonts w:hint="eastAsia" w:cs="宋体"/>
                <w:sz w:val="24"/>
                <w:szCs w:val="24"/>
              </w:rPr>
              <w:t>4</w:t>
            </w:r>
            <w:r>
              <w:rPr>
                <w:rFonts w:hint="eastAsia" w:ascii="Calibri" w:hAnsi="Calibri" w:eastAsia="宋体" w:cs="宋体"/>
                <w:sz w:val="24"/>
                <w:szCs w:val="24"/>
              </w:rPr>
              <w:t>0</w:t>
            </w:r>
            <w:r>
              <w:rPr>
                <w:rFonts w:ascii="Calibri" w:hAnsi="Calibri" w:eastAsia="宋体" w:cs="宋体"/>
                <w:sz w:val="24"/>
                <w:szCs w:val="24"/>
              </w:rPr>
              <w:t>分）</w:t>
            </w:r>
          </w:p>
        </w:tc>
        <w:tc>
          <w:tcPr>
            <w:tcW w:w="6429" w:type="dxa"/>
            <w:vAlign w:val="center"/>
          </w:tcPr>
          <w:p>
            <w:pPr>
              <w:spacing w:line="360" w:lineRule="auto"/>
              <w:jc w:val="left"/>
              <w:rPr>
                <w:rFonts w:ascii="Calibri" w:hAnsi="Calibri" w:eastAsia="宋体" w:cs="宋体"/>
                <w:sz w:val="24"/>
                <w:szCs w:val="24"/>
              </w:rPr>
            </w:pPr>
            <w:r>
              <w:rPr>
                <w:rFonts w:hint="eastAsia" w:ascii="Calibri" w:hAnsi="Calibri" w:eastAsia="宋体" w:cs="宋体"/>
                <w:sz w:val="24"/>
                <w:szCs w:val="24"/>
              </w:rPr>
              <w:t>以所有进入详细评审的投标人的评标价计算算术平均值（如投标人超过</w:t>
            </w:r>
            <w:r>
              <w:rPr>
                <w:rFonts w:ascii="Calibri" w:hAnsi="Calibri" w:eastAsia="宋体" w:cs="宋体"/>
                <w:sz w:val="24"/>
                <w:szCs w:val="24"/>
              </w:rPr>
              <w:t>5家（含5家），去掉一个最高价和一个最低价后计算算术平均值）作为基准价，基准价得满分</w:t>
            </w:r>
            <w:r>
              <w:rPr>
                <w:rFonts w:hint="eastAsia" w:ascii="Calibri" w:hAnsi="Calibri" w:eastAsia="宋体" w:cs="宋体"/>
                <w:sz w:val="24"/>
                <w:szCs w:val="24"/>
              </w:rPr>
              <w:t>40</w:t>
            </w:r>
            <w:r>
              <w:rPr>
                <w:rFonts w:ascii="Calibri" w:hAnsi="Calibri" w:eastAsia="宋体" w:cs="宋体"/>
                <w:sz w:val="24"/>
                <w:szCs w:val="24"/>
              </w:rPr>
              <w:t>分，每高基准价1%扣0.</w:t>
            </w:r>
            <w:r>
              <w:rPr>
                <w:rFonts w:hint="eastAsia" w:ascii="Calibri" w:hAnsi="Calibri" w:eastAsia="宋体" w:cs="宋体"/>
                <w:sz w:val="24"/>
                <w:szCs w:val="24"/>
              </w:rPr>
              <w:t>5</w:t>
            </w:r>
            <w:r>
              <w:rPr>
                <w:rFonts w:ascii="Calibri" w:hAnsi="Calibri" w:eastAsia="宋体" w:cs="宋体"/>
                <w:sz w:val="24"/>
                <w:szCs w:val="24"/>
              </w:rPr>
              <w:t>分，每低基准价1%的扣0.3分，扣完为止；不足1%的，按插入法计算，保留两位小数。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trPr>
        <w:tc>
          <w:tcPr>
            <w:tcW w:w="1954" w:type="dxa"/>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施工方案</w:t>
            </w:r>
          </w:p>
          <w:p>
            <w:pPr>
              <w:jc w:val="center"/>
              <w:rPr>
                <w:rFonts w:ascii="Calibri" w:hAnsi="Calibri" w:eastAsia="宋体" w:cs="Times New Roman"/>
                <w:sz w:val="24"/>
                <w:szCs w:val="24"/>
              </w:rPr>
            </w:pPr>
            <w:r>
              <w:rPr>
                <w:rFonts w:ascii="Calibri" w:hAnsi="Calibri" w:eastAsia="宋体" w:cs="Times New Roman"/>
                <w:sz w:val="24"/>
                <w:szCs w:val="24"/>
              </w:rPr>
              <w:t>（</w:t>
            </w:r>
            <w:r>
              <w:rPr>
                <w:rFonts w:hint="eastAsia" w:eastAsia="宋体"/>
                <w:sz w:val="24"/>
                <w:szCs w:val="24"/>
              </w:rPr>
              <w:t>5</w:t>
            </w:r>
            <w:r>
              <w:rPr>
                <w:rFonts w:hint="eastAsia" w:ascii="Calibri" w:hAnsi="Calibri" w:eastAsia="宋体" w:cs="Times New Roman"/>
                <w:sz w:val="24"/>
                <w:szCs w:val="24"/>
              </w:rPr>
              <w:t>0</w:t>
            </w:r>
            <w:r>
              <w:rPr>
                <w:rFonts w:ascii="Calibri" w:hAnsi="Calibri" w:eastAsia="宋体" w:cs="Times New Roman"/>
                <w:sz w:val="24"/>
                <w:szCs w:val="24"/>
              </w:rPr>
              <w:t>分）</w:t>
            </w:r>
          </w:p>
        </w:tc>
        <w:tc>
          <w:tcPr>
            <w:tcW w:w="6429" w:type="dxa"/>
          </w:tcPr>
          <w:p>
            <w:pPr>
              <w:rPr>
                <w:rFonts w:ascii="Calibri" w:hAnsi="Calibri" w:eastAsia="宋体" w:cs="宋体"/>
                <w:sz w:val="24"/>
                <w:szCs w:val="24"/>
              </w:rPr>
            </w:pPr>
            <w:r>
              <w:rPr>
                <w:rFonts w:ascii="Calibri" w:hAnsi="Calibri" w:eastAsia="宋体" w:cs="宋体"/>
                <w:sz w:val="24"/>
                <w:szCs w:val="24"/>
              </w:rPr>
              <w:t>1、施工总体部署0-</w:t>
            </w:r>
            <w:r>
              <w:rPr>
                <w:rFonts w:hint="eastAsia" w:ascii="Calibri" w:hAnsi="Calibri" w:eastAsia="宋体" w:cs="宋体"/>
                <w:sz w:val="24"/>
                <w:szCs w:val="24"/>
              </w:rPr>
              <w:t>5</w:t>
            </w:r>
            <w:r>
              <w:rPr>
                <w:rFonts w:ascii="Calibri" w:hAnsi="Calibri" w:eastAsia="宋体" w:cs="宋体"/>
                <w:sz w:val="24"/>
                <w:szCs w:val="24"/>
              </w:rPr>
              <w:t>分；</w:t>
            </w:r>
          </w:p>
          <w:p>
            <w:pPr>
              <w:rPr>
                <w:rFonts w:ascii="Calibri" w:hAnsi="Calibri" w:eastAsia="宋体" w:cs="宋体"/>
                <w:sz w:val="24"/>
                <w:szCs w:val="24"/>
              </w:rPr>
            </w:pPr>
            <w:r>
              <w:rPr>
                <w:rFonts w:ascii="Calibri" w:hAnsi="Calibri" w:eastAsia="宋体" w:cs="宋体"/>
                <w:sz w:val="24"/>
                <w:szCs w:val="24"/>
              </w:rPr>
              <w:t>2、结合本项目特点的针对性措施0-</w:t>
            </w:r>
            <w:r>
              <w:rPr>
                <w:rFonts w:hint="eastAsia" w:ascii="Calibri" w:hAnsi="Calibri" w:eastAsia="宋体" w:cs="宋体"/>
                <w:sz w:val="24"/>
                <w:szCs w:val="24"/>
              </w:rPr>
              <w:t>10</w:t>
            </w:r>
            <w:r>
              <w:rPr>
                <w:rFonts w:ascii="Calibri" w:hAnsi="Calibri" w:eastAsia="宋体" w:cs="宋体"/>
                <w:sz w:val="24"/>
                <w:szCs w:val="24"/>
              </w:rPr>
              <w:t>分；</w:t>
            </w:r>
          </w:p>
          <w:p>
            <w:pPr>
              <w:rPr>
                <w:rFonts w:ascii="Calibri" w:hAnsi="Calibri" w:eastAsia="宋体" w:cs="宋体"/>
                <w:sz w:val="24"/>
                <w:szCs w:val="24"/>
              </w:rPr>
            </w:pPr>
            <w:r>
              <w:rPr>
                <w:rFonts w:ascii="Calibri" w:hAnsi="Calibri" w:eastAsia="宋体" w:cs="宋体"/>
                <w:sz w:val="24"/>
                <w:szCs w:val="24"/>
              </w:rPr>
              <w:t>3、主要分部分项施工方法0-</w:t>
            </w:r>
            <w:r>
              <w:rPr>
                <w:rFonts w:hint="eastAsia" w:ascii="Calibri" w:hAnsi="Calibri" w:eastAsia="宋体" w:cs="宋体"/>
                <w:sz w:val="24"/>
                <w:szCs w:val="24"/>
              </w:rPr>
              <w:t>10</w:t>
            </w:r>
            <w:r>
              <w:rPr>
                <w:rFonts w:ascii="Calibri" w:hAnsi="Calibri" w:eastAsia="宋体" w:cs="宋体"/>
                <w:sz w:val="24"/>
                <w:szCs w:val="24"/>
              </w:rPr>
              <w:t>分；</w:t>
            </w:r>
          </w:p>
          <w:p>
            <w:pPr>
              <w:rPr>
                <w:rFonts w:ascii="Calibri" w:hAnsi="Calibri" w:eastAsia="宋体" w:cs="宋体"/>
                <w:sz w:val="24"/>
                <w:szCs w:val="24"/>
              </w:rPr>
            </w:pPr>
            <w:r>
              <w:rPr>
                <w:rFonts w:ascii="Calibri" w:hAnsi="Calibri" w:eastAsia="宋体" w:cs="宋体"/>
                <w:sz w:val="24"/>
                <w:szCs w:val="24"/>
              </w:rPr>
              <w:t>4、质量安全保证体系及措施0-</w:t>
            </w:r>
            <w:r>
              <w:rPr>
                <w:rFonts w:hint="eastAsia" w:ascii="Calibri" w:hAnsi="Calibri" w:eastAsia="宋体" w:cs="宋体"/>
                <w:sz w:val="24"/>
                <w:szCs w:val="24"/>
              </w:rPr>
              <w:t>5</w:t>
            </w:r>
            <w:r>
              <w:rPr>
                <w:rFonts w:ascii="Calibri" w:hAnsi="Calibri" w:eastAsia="宋体" w:cs="宋体"/>
                <w:sz w:val="24"/>
                <w:szCs w:val="24"/>
              </w:rPr>
              <w:t>分；</w:t>
            </w:r>
          </w:p>
          <w:p>
            <w:pPr>
              <w:rPr>
                <w:rFonts w:ascii="Calibri" w:hAnsi="Calibri" w:eastAsia="宋体" w:cs="宋体"/>
                <w:sz w:val="24"/>
                <w:szCs w:val="24"/>
              </w:rPr>
            </w:pPr>
            <w:r>
              <w:rPr>
                <w:rFonts w:ascii="Calibri" w:hAnsi="Calibri" w:eastAsia="宋体" w:cs="宋体"/>
                <w:sz w:val="24"/>
                <w:szCs w:val="24"/>
              </w:rPr>
              <w:t>5、施工进度计划及工期保证措施0</w:t>
            </w:r>
            <w:r>
              <w:rPr>
                <w:rFonts w:hint="eastAsia" w:ascii="Calibri" w:hAnsi="Calibri" w:eastAsia="宋体" w:cs="宋体"/>
                <w:sz w:val="24"/>
                <w:szCs w:val="24"/>
              </w:rPr>
              <w:t>-5</w:t>
            </w:r>
            <w:r>
              <w:rPr>
                <w:rFonts w:ascii="Calibri" w:hAnsi="Calibri" w:eastAsia="宋体" w:cs="宋体"/>
                <w:sz w:val="24"/>
                <w:szCs w:val="24"/>
              </w:rPr>
              <w:t>分；</w:t>
            </w:r>
          </w:p>
          <w:p>
            <w:pPr>
              <w:rPr>
                <w:rFonts w:ascii="Calibri" w:hAnsi="Calibri" w:eastAsia="宋体" w:cs="宋体"/>
                <w:sz w:val="24"/>
                <w:szCs w:val="24"/>
              </w:rPr>
            </w:pPr>
            <w:r>
              <w:rPr>
                <w:rFonts w:ascii="Calibri" w:hAnsi="Calibri" w:eastAsia="宋体" w:cs="宋体"/>
                <w:sz w:val="24"/>
                <w:szCs w:val="24"/>
              </w:rPr>
              <w:t>6、施工平面布置图0-</w:t>
            </w:r>
            <w:r>
              <w:rPr>
                <w:rFonts w:hint="eastAsia" w:ascii="Calibri" w:hAnsi="Calibri" w:eastAsia="宋体" w:cs="宋体"/>
                <w:sz w:val="24"/>
                <w:szCs w:val="24"/>
              </w:rPr>
              <w:t>5</w:t>
            </w:r>
            <w:r>
              <w:rPr>
                <w:rFonts w:ascii="Calibri" w:hAnsi="Calibri" w:eastAsia="宋体" w:cs="宋体"/>
                <w:sz w:val="24"/>
                <w:szCs w:val="24"/>
              </w:rPr>
              <w:t>分；</w:t>
            </w:r>
          </w:p>
          <w:p>
            <w:pPr>
              <w:rPr>
                <w:rFonts w:ascii="Calibri" w:hAnsi="Calibri" w:eastAsia="宋体" w:cs="宋体"/>
                <w:sz w:val="24"/>
                <w:szCs w:val="24"/>
              </w:rPr>
            </w:pPr>
            <w:r>
              <w:rPr>
                <w:rFonts w:ascii="Calibri" w:hAnsi="Calibri" w:eastAsia="宋体" w:cs="宋体"/>
                <w:sz w:val="24"/>
                <w:szCs w:val="24"/>
              </w:rPr>
              <w:t>7、为完成本招标项目需制定的其它措施或方案等0-</w:t>
            </w:r>
            <w:r>
              <w:rPr>
                <w:rFonts w:hint="eastAsia" w:ascii="Calibri" w:hAnsi="Calibri" w:eastAsia="宋体" w:cs="宋体"/>
                <w:sz w:val="24"/>
                <w:szCs w:val="24"/>
              </w:rPr>
              <w:t>5</w:t>
            </w:r>
            <w:r>
              <w:rPr>
                <w:rFonts w:ascii="Calibri" w:hAnsi="Calibri" w:eastAsia="宋体" w:cs="宋体"/>
                <w:sz w:val="24"/>
                <w:szCs w:val="24"/>
              </w:rPr>
              <w:t>分；</w:t>
            </w:r>
          </w:p>
          <w:p>
            <w:pPr>
              <w:rPr>
                <w:rFonts w:ascii="Calibri" w:hAnsi="Calibri" w:eastAsia="宋体" w:cs="宋体"/>
                <w:sz w:val="24"/>
                <w:szCs w:val="24"/>
              </w:rPr>
            </w:pPr>
            <w:r>
              <w:rPr>
                <w:rFonts w:ascii="Calibri" w:hAnsi="Calibri" w:eastAsia="宋体" w:cs="宋体"/>
                <w:sz w:val="24"/>
                <w:szCs w:val="24"/>
              </w:rPr>
              <w:t>8、项目组织结构和项目人员配制情况比较0-</w:t>
            </w:r>
            <w:r>
              <w:rPr>
                <w:rFonts w:hint="eastAsia" w:ascii="Calibri" w:hAnsi="Calibri" w:eastAsia="宋体" w:cs="宋体"/>
                <w:sz w:val="24"/>
                <w:szCs w:val="24"/>
              </w:rPr>
              <w:t>5</w:t>
            </w:r>
            <w:r>
              <w:rPr>
                <w:rFonts w:ascii="Calibri" w:hAnsi="Calibri"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4" w:type="dxa"/>
            <w:vAlign w:val="center"/>
          </w:tcPr>
          <w:p>
            <w:pPr>
              <w:jc w:val="center"/>
              <w:rPr>
                <w:rFonts w:ascii="Calibri" w:hAnsi="Calibri" w:eastAsia="宋体" w:cs="Times New Roman"/>
                <w:sz w:val="24"/>
                <w:szCs w:val="24"/>
              </w:rPr>
            </w:pPr>
            <w:r>
              <w:rPr>
                <w:rFonts w:hint="eastAsia" w:ascii="宋体" w:hAnsi="宋体" w:eastAsia="宋体" w:cs="宋体"/>
                <w:color w:val="000000"/>
                <w:szCs w:val="21"/>
              </w:rPr>
              <w:t>业绩（8分）</w:t>
            </w:r>
          </w:p>
        </w:tc>
        <w:tc>
          <w:tcPr>
            <w:tcW w:w="6429" w:type="dxa"/>
          </w:tcPr>
          <w:p>
            <w:pPr>
              <w:rPr>
                <w:rFonts w:ascii="Calibri" w:hAnsi="Calibri" w:eastAsia="宋体" w:cs="宋体"/>
                <w:sz w:val="24"/>
                <w:szCs w:val="24"/>
              </w:rPr>
            </w:pPr>
            <w:r>
              <w:rPr>
                <w:rFonts w:hint="eastAsia" w:ascii="Calibri" w:hAnsi="Calibri" w:eastAsia="宋体" w:cs="宋体"/>
                <w:sz w:val="24"/>
                <w:szCs w:val="24"/>
              </w:rPr>
              <w:t>投标企业自 2018年 1 月 1 日以来承担过类似供电工程的，有一项得2分，满分8分。</w:t>
            </w:r>
          </w:p>
          <w:p>
            <w:pPr>
              <w:rPr>
                <w:rFonts w:ascii="Calibri" w:hAnsi="Calibri" w:eastAsia="宋体" w:cs="宋体"/>
                <w:sz w:val="24"/>
                <w:szCs w:val="24"/>
              </w:rPr>
            </w:pPr>
            <w:r>
              <w:rPr>
                <w:rFonts w:hint="eastAsia" w:ascii="Calibri" w:hAnsi="Calibri" w:eastAsia="宋体" w:cs="宋体"/>
                <w:sz w:val="24"/>
                <w:szCs w:val="24"/>
              </w:rPr>
              <w:t>业绩应提供以下资料的复印件加盖供应商公章（原件备查）：1、依法承发包的交易结果（中标或成交）文件；2、合同；3、项目所在地供电公司或运维检修部门出具的竣工验收证明材料；4、其他证明资料（如有）。依法承发包的交易结果文件包括中标通知书、直接发包通知书（或备案表）和成交通知书等；依法可以不进行招标的项目，可以提供业主单位或招标代理机构出具的有关中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4" w:type="dxa"/>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管理体系（2分）</w:t>
            </w:r>
          </w:p>
        </w:tc>
        <w:tc>
          <w:tcPr>
            <w:tcW w:w="6429" w:type="dxa"/>
          </w:tcPr>
          <w:p>
            <w:pPr>
              <w:spacing w:line="360" w:lineRule="auto"/>
              <w:ind w:left="16"/>
              <w:rPr>
                <w:rFonts w:ascii="Calibri" w:hAnsi="Calibri" w:eastAsia="宋体" w:cs="宋体"/>
                <w:sz w:val="24"/>
                <w:szCs w:val="24"/>
              </w:rPr>
            </w:pPr>
            <w:r>
              <w:rPr>
                <w:rFonts w:hint="eastAsia" w:ascii="Calibri" w:hAnsi="Calibri" w:eastAsia="宋体" w:cs="宋体"/>
                <w:sz w:val="24"/>
                <w:szCs w:val="24"/>
              </w:rPr>
              <w:t>投标人具备ISO9001质量管理体系认证证书（有效期内）、ISO14001环境管理体系认证证书（有效期内）、OHSAS18001职业健康安全管理体系认证证书（有效期内），有一个得1分，最多得2分。（提供认证体系证书复印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4" w:type="dxa"/>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总分（100分）</w:t>
            </w:r>
          </w:p>
        </w:tc>
        <w:tc>
          <w:tcPr>
            <w:tcW w:w="6429" w:type="dxa"/>
          </w:tcPr>
          <w:p>
            <w:pPr>
              <w:spacing w:line="360" w:lineRule="auto"/>
              <w:ind w:left="16"/>
              <w:rPr>
                <w:rFonts w:ascii="宋体" w:hAnsi="宋体" w:eastAsia="宋体" w:cs="宋体"/>
                <w:color w:val="000000"/>
                <w:szCs w:val="21"/>
              </w:rPr>
            </w:pPr>
          </w:p>
        </w:tc>
      </w:tr>
    </w:tbl>
    <w:p>
      <w:pPr>
        <w:tabs>
          <w:tab w:val="left" w:pos="0"/>
          <w:tab w:val="left" w:pos="993"/>
          <w:tab w:val="left" w:pos="1134"/>
        </w:tabs>
        <w:adjustRightInd w:val="0"/>
        <w:snapToGrid w:val="0"/>
        <w:spacing w:line="360" w:lineRule="auto"/>
        <w:ind w:firstLine="480" w:firstLineChars="200"/>
        <w:rPr>
          <w:rFonts w:cs="Arial" w:asciiTheme="minorEastAsia" w:hAnsiTheme="minorEastAsia"/>
          <w:color w:val="000000"/>
          <w:kern w:val="0"/>
          <w:sz w:val="24"/>
          <w:szCs w:val="24"/>
        </w:rPr>
      </w:pPr>
    </w:p>
    <w:p>
      <w:pPr>
        <w:spacing w:line="360" w:lineRule="auto"/>
        <w:ind w:firstLine="360" w:firstLineChars="150"/>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3、</w:t>
      </w:r>
      <w:r>
        <w:rPr>
          <w:rFonts w:cs="Arial" w:asciiTheme="minorEastAsia" w:hAnsiTheme="minorEastAsia"/>
          <w:color w:val="000000"/>
          <w:kern w:val="0"/>
          <w:sz w:val="24"/>
          <w:szCs w:val="24"/>
        </w:rPr>
        <w:t>投标文件的澄清和补正</w:t>
      </w:r>
    </w:p>
    <w:p>
      <w:pPr>
        <w:spacing w:line="360" w:lineRule="auto"/>
        <w:ind w:firstLine="480" w:firstLineChars="200"/>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⑴</w:t>
      </w:r>
      <w:r>
        <w:rPr>
          <w:rFonts w:cs="Arial" w:asciiTheme="minorEastAsia" w:hAnsiTheme="minorEastAsia"/>
          <w:color w:val="000000"/>
          <w:kern w:val="0"/>
          <w:sz w:val="24"/>
          <w:szCs w:val="24"/>
        </w:rPr>
        <w:t>、在评标过程中，评标小组可以要求投标人用面谈或书面回复的形式对投标文件含义不明确、对同类问题表述不一致的内容作必要的澄清或者说明，或者对细微偏差进行补正。</w:t>
      </w:r>
    </w:p>
    <w:p>
      <w:pPr>
        <w:spacing w:line="360" w:lineRule="auto"/>
        <w:ind w:firstLine="480" w:firstLineChars="200"/>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⑵</w:t>
      </w:r>
      <w:r>
        <w:rPr>
          <w:rFonts w:cs="Arial" w:asciiTheme="minorEastAsia" w:hAnsiTheme="minorEastAsia"/>
          <w:color w:val="000000"/>
          <w:kern w:val="0"/>
          <w:sz w:val="24"/>
          <w:szCs w:val="24"/>
        </w:rPr>
        <w:t>、澄清、说明和补正不得改变投标文件的实质性内容（算术性错误修正和招标人依本招标文件规定要求再次报价的除外）。投标人的澄清、说明和补正均应采用书面形式，经投标人的法定代表人或其授权代表签字后作为投标文件的组成部分。</w:t>
      </w:r>
    </w:p>
    <w:p>
      <w:pPr>
        <w:spacing w:line="360" w:lineRule="auto"/>
        <w:ind w:firstLine="472" w:firstLineChars="196"/>
        <w:jc w:val="left"/>
        <w:outlineLvl w:val="0"/>
        <w:rPr>
          <w:rFonts w:cs="Arial" w:asciiTheme="minorEastAsia" w:hAnsiTheme="minorEastAsia"/>
          <w:b/>
          <w:bCs/>
          <w:color w:val="000000"/>
          <w:kern w:val="0"/>
          <w:sz w:val="24"/>
          <w:szCs w:val="24"/>
        </w:rPr>
      </w:pPr>
      <w:r>
        <w:rPr>
          <w:rFonts w:hint="eastAsia" w:cs="Arial" w:asciiTheme="minorEastAsia" w:hAnsiTheme="minorEastAsia"/>
          <w:b/>
          <w:bCs/>
          <w:color w:val="000000"/>
          <w:kern w:val="0"/>
          <w:sz w:val="24"/>
          <w:szCs w:val="24"/>
        </w:rPr>
        <w:t>八</w:t>
      </w:r>
      <w:r>
        <w:rPr>
          <w:rFonts w:cs="Arial" w:asciiTheme="minorEastAsia" w:hAnsiTheme="minorEastAsia"/>
          <w:b/>
          <w:bCs/>
          <w:color w:val="000000"/>
          <w:kern w:val="0"/>
          <w:sz w:val="24"/>
          <w:szCs w:val="24"/>
        </w:rPr>
        <w:t>、定标</w:t>
      </w:r>
    </w:p>
    <w:p>
      <w:pPr>
        <w:pStyle w:val="5"/>
        <w:adjustRightInd w:val="0"/>
        <w:snapToGrid w:val="0"/>
        <w:spacing w:line="360" w:lineRule="auto"/>
        <w:rPr>
          <w:rFonts w:cs="Arial" w:asciiTheme="minorEastAsia" w:hAnsiTheme="minorEastAsia"/>
          <w:color w:val="000000"/>
          <w:sz w:val="24"/>
          <w:szCs w:val="24"/>
        </w:rPr>
      </w:pPr>
      <w:r>
        <w:rPr>
          <w:rFonts w:cs="Arial" w:asciiTheme="minorEastAsia" w:hAnsiTheme="minorEastAsia"/>
          <w:color w:val="000000"/>
          <w:sz w:val="24"/>
          <w:szCs w:val="24"/>
        </w:rPr>
        <w:t>招标人依据评标小组对投标文件的评审和</w:t>
      </w:r>
      <w:r>
        <w:rPr>
          <w:rFonts w:hint="eastAsia" w:cs="Arial" w:asciiTheme="minorEastAsia" w:hAnsiTheme="minorEastAsia"/>
          <w:color w:val="000000"/>
          <w:sz w:val="24"/>
          <w:szCs w:val="24"/>
        </w:rPr>
        <w:t>排名</w:t>
      </w:r>
      <w:r>
        <w:rPr>
          <w:rFonts w:cs="Arial" w:asciiTheme="minorEastAsia" w:hAnsiTheme="minorEastAsia"/>
          <w:color w:val="000000"/>
          <w:sz w:val="24"/>
          <w:szCs w:val="24"/>
        </w:rPr>
        <w:t>情况，确定中标候选人，招标人须确定排名第一的</w:t>
      </w:r>
      <w:r>
        <w:rPr>
          <w:rFonts w:hint="eastAsia" w:cs="Arial" w:asciiTheme="minorEastAsia" w:hAnsiTheme="minorEastAsia"/>
          <w:color w:val="000000"/>
          <w:sz w:val="24"/>
          <w:szCs w:val="24"/>
        </w:rPr>
        <w:t>中标候选人</w:t>
      </w:r>
      <w:r>
        <w:rPr>
          <w:rFonts w:cs="Arial" w:asciiTheme="minorEastAsia" w:hAnsiTheme="minorEastAsia"/>
          <w:color w:val="000000"/>
          <w:sz w:val="24"/>
          <w:szCs w:val="24"/>
        </w:rPr>
        <w:t>为中标人。</w:t>
      </w:r>
      <w:r>
        <w:rPr>
          <w:rFonts w:hint="eastAsia" w:cs="Arial" w:asciiTheme="minorEastAsia" w:hAnsiTheme="minorEastAsia"/>
          <w:color w:val="000000"/>
          <w:sz w:val="24"/>
          <w:szCs w:val="24"/>
        </w:rPr>
        <w:t xml:space="preserve">排名第一的中标候选人放弃中标、因不可抗力提出不能履行合同，或者招标文件规定应当提交履约保证金而在规定的期限内未能提交的，招标人可以确定排名第二的中标候选人为中标人。 </w:t>
      </w:r>
    </w:p>
    <w:p>
      <w:pPr>
        <w:tabs>
          <w:tab w:val="left" w:pos="0"/>
          <w:tab w:val="left" w:pos="993"/>
          <w:tab w:val="left" w:pos="1134"/>
        </w:tabs>
        <w:adjustRightInd w:val="0"/>
        <w:snapToGrid w:val="0"/>
        <w:spacing w:line="360" w:lineRule="auto"/>
        <w:ind w:firstLine="480" w:firstLineChars="200"/>
        <w:rPr>
          <w:rFonts w:eastAsia="宋体" w:cs="Arial" w:asciiTheme="minorEastAsia" w:hAnsiTheme="minorEastAsia"/>
          <w:color w:val="000000"/>
          <w:kern w:val="0"/>
          <w:sz w:val="24"/>
          <w:szCs w:val="24"/>
        </w:rPr>
      </w:pPr>
      <w:r>
        <w:rPr>
          <w:rFonts w:hint="eastAsia" w:eastAsia="宋体" w:cs="Arial" w:asciiTheme="minorEastAsia" w:hAnsiTheme="minorEastAsia"/>
          <w:color w:val="000000"/>
          <w:kern w:val="0"/>
          <w:sz w:val="24"/>
          <w:szCs w:val="24"/>
        </w:rPr>
        <w:t>排名第二的中标候选人因前款规定的同样原因不能签订合同的，招标人可以确定排名第三的中标候选人为中标人。</w:t>
      </w:r>
    </w:p>
    <w:p>
      <w:pPr>
        <w:pStyle w:val="9"/>
        <w:shd w:val="clear" w:color="auto" w:fill="FFFFFF"/>
        <w:spacing w:before="0" w:beforeAutospacing="0" w:after="0" w:afterAutospacing="0" w:line="360" w:lineRule="auto"/>
        <w:ind w:firstLine="480"/>
        <w:jc w:val="both"/>
        <w:outlineLvl w:val="0"/>
        <w:rPr>
          <w:rFonts w:cs="Arial" w:asciiTheme="minorEastAsia" w:hAnsiTheme="minorEastAsia" w:eastAsiaTheme="minorEastAsia"/>
          <w:b/>
          <w:bCs/>
          <w:color w:val="000000"/>
        </w:rPr>
      </w:pPr>
      <w:r>
        <w:rPr>
          <w:rFonts w:hint="eastAsia" w:cs="Arial" w:asciiTheme="minorEastAsia" w:hAnsiTheme="minorEastAsia" w:eastAsiaTheme="minorEastAsia"/>
          <w:b/>
          <w:bCs/>
          <w:color w:val="000000"/>
        </w:rPr>
        <w:t>九</w:t>
      </w:r>
      <w:r>
        <w:rPr>
          <w:rFonts w:cs="Arial" w:asciiTheme="minorEastAsia" w:hAnsiTheme="minorEastAsia" w:eastAsiaTheme="minorEastAsia"/>
          <w:b/>
          <w:bCs/>
          <w:color w:val="000000"/>
        </w:rPr>
        <w:t>、投标文件的提交方式、时间及地点</w:t>
      </w:r>
    </w:p>
    <w:p>
      <w:pPr>
        <w:pStyle w:val="9"/>
        <w:shd w:val="clear" w:color="auto" w:fill="FFFFFF"/>
        <w:spacing w:before="0" w:beforeAutospacing="0" w:after="0" w:afterAutospacing="0" w:line="360" w:lineRule="auto"/>
        <w:ind w:firstLine="480"/>
        <w:jc w:val="both"/>
        <w:rPr>
          <w:rFonts w:cs="Arial" w:asciiTheme="minorEastAsia" w:hAnsiTheme="minorEastAsia" w:eastAsiaTheme="minorEastAsia"/>
          <w:color w:val="000000"/>
        </w:rPr>
      </w:pPr>
      <w:r>
        <w:rPr>
          <w:rFonts w:cs="Arial" w:asciiTheme="minorEastAsia" w:hAnsiTheme="minorEastAsia" w:eastAsiaTheme="minorEastAsia"/>
          <w:color w:val="000000"/>
        </w:rPr>
        <w:t>1、提交方式：</w:t>
      </w:r>
      <w:r>
        <w:rPr>
          <w:rFonts w:hint="eastAsia" w:cs="Arial" w:asciiTheme="minorEastAsia" w:hAnsiTheme="minorEastAsia" w:eastAsiaTheme="minorEastAsia"/>
          <w:color w:val="000000"/>
        </w:rPr>
        <w:t>文件按要求密封</w:t>
      </w:r>
      <w:r>
        <w:rPr>
          <w:rFonts w:cs="Arial" w:asciiTheme="minorEastAsia" w:hAnsiTheme="minorEastAsia" w:eastAsiaTheme="minorEastAsia"/>
          <w:color w:val="000000"/>
        </w:rPr>
        <w:t>，直接送达。</w:t>
      </w:r>
    </w:p>
    <w:p>
      <w:pPr>
        <w:pStyle w:val="9"/>
        <w:shd w:val="clear" w:color="auto" w:fill="FFFFFF"/>
        <w:spacing w:before="0" w:beforeAutospacing="0" w:after="0" w:afterAutospacing="0" w:line="360" w:lineRule="auto"/>
        <w:ind w:firstLine="480"/>
        <w:jc w:val="both"/>
        <w:outlineLvl w:val="0"/>
        <w:rPr>
          <w:rFonts w:cs="Arial" w:asciiTheme="minorEastAsia" w:hAnsiTheme="minorEastAsia" w:eastAsiaTheme="minorEastAsia"/>
          <w:color w:val="000000"/>
        </w:rPr>
      </w:pPr>
      <w:r>
        <w:rPr>
          <w:rFonts w:cs="Arial" w:asciiTheme="minorEastAsia" w:hAnsiTheme="minorEastAsia" w:eastAsiaTheme="minorEastAsia"/>
          <w:color w:val="000000"/>
        </w:rPr>
        <w:t>2、提交地点：</w:t>
      </w:r>
      <w:r>
        <w:rPr>
          <w:rFonts w:hint="eastAsia" w:cs="Arial" w:asciiTheme="minorEastAsia" w:hAnsiTheme="minorEastAsia" w:eastAsiaTheme="minorEastAsia"/>
          <w:color w:val="000000"/>
        </w:rPr>
        <w:t>扬州市广陵区汤汪路183号扬州市政管网有限公司工程处</w:t>
      </w:r>
    </w:p>
    <w:p>
      <w:pPr>
        <w:pStyle w:val="9"/>
        <w:shd w:val="clear" w:color="auto" w:fill="FFFFFF"/>
        <w:spacing w:before="0" w:beforeAutospacing="0" w:after="0" w:afterAutospacing="0" w:line="360" w:lineRule="auto"/>
        <w:ind w:firstLine="480"/>
        <w:jc w:val="both"/>
        <w:rPr>
          <w:rFonts w:cs="Arial" w:asciiTheme="minorEastAsia" w:hAnsiTheme="minorEastAsia" w:eastAsiaTheme="minorEastAsia"/>
          <w:color w:val="000000"/>
        </w:rPr>
      </w:pPr>
      <w:r>
        <w:rPr>
          <w:rFonts w:cs="Arial" w:asciiTheme="minorEastAsia" w:hAnsiTheme="minorEastAsia" w:eastAsiaTheme="minorEastAsia"/>
          <w:color w:val="000000"/>
        </w:rPr>
        <w:t>3、联系人：</w:t>
      </w:r>
      <w:r>
        <w:rPr>
          <w:rFonts w:hint="eastAsia" w:cs="Arial" w:asciiTheme="minorEastAsia" w:hAnsiTheme="minorEastAsia" w:eastAsiaTheme="minorEastAsia"/>
          <w:color w:val="000000"/>
        </w:rPr>
        <w:t>孙钧     联系电话：18936221131</w:t>
      </w:r>
    </w:p>
    <w:p>
      <w:pPr>
        <w:pStyle w:val="9"/>
        <w:shd w:val="clear" w:color="auto" w:fill="FFFFFF"/>
        <w:spacing w:before="0" w:beforeAutospacing="0" w:after="0" w:afterAutospacing="0" w:line="360" w:lineRule="auto"/>
        <w:ind w:firstLine="480"/>
        <w:jc w:val="both"/>
        <w:rPr>
          <w:rFonts w:cs="Arial" w:asciiTheme="minorEastAsia" w:hAnsiTheme="minorEastAsia" w:eastAsiaTheme="minorEastAsia"/>
          <w:color w:val="000000"/>
        </w:rPr>
      </w:pPr>
      <w:r>
        <w:rPr>
          <w:rFonts w:cs="Arial" w:asciiTheme="minorEastAsia" w:hAnsiTheme="minorEastAsia" w:eastAsiaTheme="minorEastAsia"/>
          <w:color w:val="000000"/>
        </w:rPr>
        <w:t>4、提交</w:t>
      </w:r>
      <w:r>
        <w:rPr>
          <w:rFonts w:hint="eastAsia" w:cs="Arial" w:asciiTheme="minorEastAsia" w:hAnsiTheme="minorEastAsia" w:eastAsiaTheme="minorEastAsia"/>
          <w:color w:val="000000"/>
        </w:rPr>
        <w:t>截止</w:t>
      </w:r>
      <w:r>
        <w:rPr>
          <w:rFonts w:cs="Arial" w:asciiTheme="minorEastAsia" w:hAnsiTheme="minorEastAsia" w:eastAsiaTheme="minorEastAsia"/>
          <w:color w:val="000000"/>
        </w:rPr>
        <w:t>时间：</w:t>
      </w:r>
      <w:r>
        <w:rPr>
          <w:rFonts w:hint="eastAsia" w:cs="Arial" w:asciiTheme="minorEastAsia" w:hAnsiTheme="minorEastAsia" w:eastAsiaTheme="minorEastAsia"/>
          <w:color w:val="000000"/>
        </w:rPr>
        <w:t>2022年03月02日 下午17：30</w:t>
      </w:r>
    </w:p>
    <w:p>
      <w:pPr>
        <w:pStyle w:val="9"/>
        <w:shd w:val="clear" w:color="auto" w:fill="FFFFFF"/>
        <w:spacing w:before="0" w:beforeAutospacing="0" w:after="0" w:afterAutospacing="0" w:line="360" w:lineRule="auto"/>
        <w:ind w:firstLine="480"/>
        <w:jc w:val="both"/>
        <w:rPr>
          <w:rFonts w:cs="Arial" w:asciiTheme="minorEastAsia" w:hAnsiTheme="minorEastAsia" w:eastAsiaTheme="minorEastAsia"/>
          <w:color w:val="000000"/>
        </w:rPr>
      </w:pPr>
      <w:r>
        <w:rPr>
          <w:rFonts w:cs="Arial" w:asciiTheme="minorEastAsia" w:hAnsiTheme="minorEastAsia" w:eastAsiaTheme="minorEastAsia"/>
          <w:color w:val="000000"/>
        </w:rPr>
        <w:t>5、参加投标企业的文件一概不退，资料封存归档。</w:t>
      </w:r>
    </w:p>
    <w:p>
      <w:pPr>
        <w:widowControl/>
        <w:spacing w:line="360" w:lineRule="auto"/>
        <w:jc w:val="left"/>
        <w:rPr>
          <w:rFonts w:ascii="Times New Roman" w:hAnsi="Times New Roman" w:cs="Times New Roman"/>
          <w:b/>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k2ODI4NzUxZmVhYTM1NjJlMjc5MDVlZDk5NjgzZDYifQ=="/>
  </w:docVars>
  <w:rsids>
    <w:rsidRoot w:val="002969A1"/>
    <w:rsid w:val="00004C73"/>
    <w:rsid w:val="0001163D"/>
    <w:rsid w:val="0001586C"/>
    <w:rsid w:val="00024E3A"/>
    <w:rsid w:val="00047DB1"/>
    <w:rsid w:val="00047F71"/>
    <w:rsid w:val="00051C72"/>
    <w:rsid w:val="00085C02"/>
    <w:rsid w:val="000A3100"/>
    <w:rsid w:val="000C578A"/>
    <w:rsid w:val="000C5F03"/>
    <w:rsid w:val="000D36F5"/>
    <w:rsid w:val="00136239"/>
    <w:rsid w:val="0016388A"/>
    <w:rsid w:val="002969A1"/>
    <w:rsid w:val="003A3ADD"/>
    <w:rsid w:val="003A5533"/>
    <w:rsid w:val="003D3CE3"/>
    <w:rsid w:val="004162D3"/>
    <w:rsid w:val="00493229"/>
    <w:rsid w:val="004C0630"/>
    <w:rsid w:val="004C3F3D"/>
    <w:rsid w:val="0050100F"/>
    <w:rsid w:val="00556A79"/>
    <w:rsid w:val="00556C37"/>
    <w:rsid w:val="00556D6D"/>
    <w:rsid w:val="005A6DD1"/>
    <w:rsid w:val="005E1C5F"/>
    <w:rsid w:val="00664612"/>
    <w:rsid w:val="00730618"/>
    <w:rsid w:val="00735F1A"/>
    <w:rsid w:val="007522FA"/>
    <w:rsid w:val="007C39E7"/>
    <w:rsid w:val="007D1533"/>
    <w:rsid w:val="007D2309"/>
    <w:rsid w:val="00805E9F"/>
    <w:rsid w:val="008134C2"/>
    <w:rsid w:val="00846F78"/>
    <w:rsid w:val="008E5736"/>
    <w:rsid w:val="0098230F"/>
    <w:rsid w:val="0099052E"/>
    <w:rsid w:val="00991D12"/>
    <w:rsid w:val="00A70FE4"/>
    <w:rsid w:val="00A74CD0"/>
    <w:rsid w:val="00AE6324"/>
    <w:rsid w:val="00AF73AB"/>
    <w:rsid w:val="00B46CBA"/>
    <w:rsid w:val="00B82A33"/>
    <w:rsid w:val="00BB26C9"/>
    <w:rsid w:val="00C163BE"/>
    <w:rsid w:val="00C415D2"/>
    <w:rsid w:val="00CD4CEB"/>
    <w:rsid w:val="00D42F26"/>
    <w:rsid w:val="00D76F7A"/>
    <w:rsid w:val="00D803D2"/>
    <w:rsid w:val="00DC75AD"/>
    <w:rsid w:val="00E10AD1"/>
    <w:rsid w:val="00E405AD"/>
    <w:rsid w:val="00E54B14"/>
    <w:rsid w:val="00E8299A"/>
    <w:rsid w:val="00EA4D9F"/>
    <w:rsid w:val="00ED60E7"/>
    <w:rsid w:val="00F10A72"/>
    <w:rsid w:val="00F46030"/>
    <w:rsid w:val="00F71D0E"/>
    <w:rsid w:val="00F87CDC"/>
    <w:rsid w:val="00FA0008"/>
    <w:rsid w:val="00FC500E"/>
    <w:rsid w:val="00FE6E79"/>
    <w:rsid w:val="05B74DED"/>
    <w:rsid w:val="082D7FA8"/>
    <w:rsid w:val="21376A62"/>
    <w:rsid w:val="2A3634C5"/>
    <w:rsid w:val="40777860"/>
    <w:rsid w:val="4719689A"/>
    <w:rsid w:val="50A63E75"/>
    <w:rsid w:val="57616096"/>
    <w:rsid w:val="5A3D370D"/>
    <w:rsid w:val="5E01446F"/>
    <w:rsid w:val="65FA47BE"/>
    <w:rsid w:val="67A20209"/>
    <w:rsid w:val="6E037C9B"/>
    <w:rsid w:val="770C54B3"/>
    <w:rsid w:val="77AA2715"/>
    <w:rsid w:val="79606814"/>
    <w:rsid w:val="7CF86C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缩进）"/>
    <w:basedOn w:val="1"/>
    <w:next w:val="1"/>
    <w:qFormat/>
    <w:uiPriority w:val="0"/>
    <w:pPr>
      <w:ind w:firstLine="480" w:firstLineChars="200"/>
    </w:pPr>
    <w:rPr>
      <w:rFonts w:ascii="Times New Roman" w:hAnsi="Times New Roman"/>
    </w:rPr>
  </w:style>
  <w:style w:type="paragraph" w:styleId="3">
    <w:name w:val="Document Map"/>
    <w:basedOn w:val="1"/>
    <w:link w:val="17"/>
    <w:unhideWhenUsed/>
    <w:qFormat/>
    <w:uiPriority w:val="99"/>
    <w:rPr>
      <w:rFonts w:ascii="宋体" w:eastAsia="宋体"/>
      <w:sz w:val="18"/>
      <w:szCs w:val="18"/>
    </w:rPr>
  </w:style>
  <w:style w:type="paragraph" w:styleId="4">
    <w:name w:val="annotation text"/>
    <w:basedOn w:val="1"/>
    <w:unhideWhenUsed/>
    <w:qFormat/>
    <w:uiPriority w:val="99"/>
    <w:pPr>
      <w:jc w:val="left"/>
    </w:pPr>
  </w:style>
  <w:style w:type="paragraph" w:styleId="5">
    <w:name w:val="Body Text Indent"/>
    <w:basedOn w:val="1"/>
    <w:link w:val="19"/>
    <w:qFormat/>
    <w:uiPriority w:val="0"/>
    <w:pPr>
      <w:widowControl/>
      <w:tabs>
        <w:tab w:val="left" w:pos="0"/>
        <w:tab w:val="left" w:pos="993"/>
        <w:tab w:val="left" w:pos="1134"/>
      </w:tabs>
      <w:spacing w:line="500" w:lineRule="exact"/>
      <w:ind w:firstLine="567"/>
    </w:pPr>
    <w:rPr>
      <w:rFonts w:ascii="宋体" w:hAnsi="Calibri" w:eastAsia="宋体" w:cs="Times New Roman"/>
      <w:kern w:val="0"/>
      <w:sz w:val="28"/>
      <w:szCs w:val="20"/>
    </w:rPr>
  </w:style>
  <w:style w:type="paragraph" w:styleId="6">
    <w:name w:val="Balloon Text"/>
    <w:basedOn w:val="1"/>
    <w:link w:val="18"/>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unhideWhenUsed/>
    <w:qFormat/>
    <w:uiPriority w:val="99"/>
    <w:rPr>
      <w:sz w:val="21"/>
      <w:szCs w:val="21"/>
    </w:rPr>
  </w:style>
  <w:style w:type="character" w:customStyle="1" w:styleId="14">
    <w:name w:val="页眉 Char"/>
    <w:basedOn w:val="12"/>
    <w:link w:val="8"/>
    <w:semiHidden/>
    <w:qFormat/>
    <w:uiPriority w:val="99"/>
    <w:rPr>
      <w:sz w:val="18"/>
      <w:szCs w:val="18"/>
    </w:rPr>
  </w:style>
  <w:style w:type="character" w:customStyle="1" w:styleId="15">
    <w:name w:val="页脚 Char"/>
    <w:basedOn w:val="12"/>
    <w:link w:val="7"/>
    <w:semiHidden/>
    <w:qFormat/>
    <w:uiPriority w:val="99"/>
    <w:rPr>
      <w:sz w:val="18"/>
      <w:szCs w:val="18"/>
    </w:rPr>
  </w:style>
  <w:style w:type="paragraph" w:customStyle="1" w:styleId="16">
    <w:name w:val="列表段落1"/>
    <w:basedOn w:val="1"/>
    <w:qFormat/>
    <w:uiPriority w:val="34"/>
    <w:pPr>
      <w:ind w:firstLine="420" w:firstLineChars="200"/>
    </w:pPr>
  </w:style>
  <w:style w:type="character" w:customStyle="1" w:styleId="17">
    <w:name w:val="文档结构图 Char"/>
    <w:basedOn w:val="12"/>
    <w:link w:val="3"/>
    <w:semiHidden/>
    <w:qFormat/>
    <w:uiPriority w:val="99"/>
    <w:rPr>
      <w:rFonts w:ascii="宋体" w:eastAsia="宋体"/>
      <w:kern w:val="2"/>
      <w:sz w:val="18"/>
      <w:szCs w:val="18"/>
    </w:rPr>
  </w:style>
  <w:style w:type="character" w:customStyle="1" w:styleId="18">
    <w:name w:val="批注框文本 Char"/>
    <w:basedOn w:val="12"/>
    <w:link w:val="6"/>
    <w:semiHidden/>
    <w:qFormat/>
    <w:uiPriority w:val="99"/>
    <w:rPr>
      <w:kern w:val="2"/>
      <w:sz w:val="18"/>
      <w:szCs w:val="18"/>
    </w:rPr>
  </w:style>
  <w:style w:type="character" w:customStyle="1" w:styleId="19">
    <w:name w:val="正文文本缩进 Char"/>
    <w:basedOn w:val="12"/>
    <w:link w:val="5"/>
    <w:qFormat/>
    <w:uiPriority w:val="0"/>
    <w:rPr>
      <w:rFonts w:ascii="宋体" w:hAnsi="Calibri" w:eastAsia="宋体" w:cs="Times New Roman"/>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www.deepin.org</Company>
  <Pages>4</Pages>
  <Words>2386</Words>
  <Characters>2517</Characters>
  <Lines>18</Lines>
  <Paragraphs>5</Paragraphs>
  <TotalTime>31</TotalTime>
  <ScaleCrop>false</ScaleCrop>
  <LinksUpToDate>false</LinksUpToDate>
  <CharactersWithSpaces>2531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2021-10-11T05:11:00Z</dcterms:created>
  <dc:creator>User</dc:creator>
  <cp:lastModifiedBy>DELL</cp:lastModifiedBy>
  <cp:lastPrinted>2022-02-23T06:53:00Z</cp:lastPrinted>
  <dcterms:modified xsi:type="dcterms:W3CDTF">2022-09-13T03:38:14Z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B32544A0EC424D2FAAE3819530FAF389</vt:lpwstr>
  </property>
</Properties>
</file>