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F836A">
      <w:pPr>
        <w:keepNext w:val="0"/>
        <w:keepLines w:val="0"/>
        <w:pageBreakBefore w:val="0"/>
        <w:widowControl w:val="0"/>
        <w:kinsoku/>
        <w:wordWrap/>
        <w:overflowPunct/>
        <w:topLinePunct w:val="0"/>
        <w:autoSpaceDE/>
        <w:autoSpaceDN/>
        <w:bidi w:val="0"/>
        <w:adjustRightInd w:val="0"/>
        <w:snapToGrid w:val="0"/>
        <w:spacing w:before="120" w:after="120" w:line="400" w:lineRule="exact"/>
        <w:jc w:val="center"/>
        <w:textAlignment w:val="auto"/>
        <w:rPr>
          <w:rFonts w:hint="eastAsia" w:ascii="宋体" w:hAnsi="宋体" w:eastAsia="宋体" w:cs="宋体"/>
          <w:b/>
          <w:bCs w:val="0"/>
          <w:color w:val="auto"/>
          <w:sz w:val="32"/>
          <w:szCs w:val="32"/>
          <w:highlight w:val="none"/>
          <w:u w:val="none"/>
          <w:lang w:eastAsia="zh-CN"/>
        </w:rPr>
      </w:pPr>
      <w:bookmarkStart w:id="0" w:name="_Toc398107827"/>
      <w:r>
        <w:rPr>
          <w:rFonts w:hint="eastAsia" w:ascii="宋体" w:hAnsi="宋体" w:eastAsia="宋体" w:cs="宋体"/>
          <w:b/>
          <w:bCs w:val="0"/>
          <w:color w:val="auto"/>
          <w:sz w:val="32"/>
          <w:szCs w:val="32"/>
          <w:highlight w:val="none"/>
          <w:u w:val="none"/>
          <w:lang w:eastAsia="zh-CN"/>
        </w:rPr>
        <w:t>扬州高新区排水达标示范区三期工程（二标段）</w:t>
      </w:r>
    </w:p>
    <w:p w14:paraId="43231549">
      <w:pPr>
        <w:keepNext w:val="0"/>
        <w:keepLines w:val="0"/>
        <w:pageBreakBefore w:val="0"/>
        <w:widowControl w:val="0"/>
        <w:kinsoku/>
        <w:wordWrap/>
        <w:overflowPunct/>
        <w:topLinePunct w:val="0"/>
        <w:autoSpaceDE/>
        <w:autoSpaceDN/>
        <w:bidi w:val="0"/>
        <w:adjustRightInd w:val="0"/>
        <w:snapToGrid w:val="0"/>
        <w:spacing w:before="120" w:after="120" w:line="400" w:lineRule="exact"/>
        <w:jc w:val="center"/>
        <w:textAlignment w:val="auto"/>
        <w:rPr>
          <w:rFonts w:hint="eastAsia" w:cs="宋体"/>
          <w:b/>
          <w:bCs w:val="0"/>
          <w:color w:val="auto"/>
          <w:sz w:val="32"/>
          <w:szCs w:val="32"/>
          <w:highlight w:val="none"/>
        </w:rPr>
      </w:pPr>
      <w:r>
        <w:rPr>
          <w:rFonts w:hint="eastAsia" w:ascii="宋体" w:hAnsi="宋体" w:eastAsia="宋体" w:cs="宋体"/>
          <w:b/>
          <w:bCs w:val="0"/>
          <w:color w:val="auto"/>
          <w:sz w:val="32"/>
          <w:szCs w:val="32"/>
          <w:highlight w:val="none"/>
          <w:u w:val="none"/>
          <w:lang w:val="en-US" w:eastAsia="zh-CN"/>
        </w:rPr>
        <w:t>材料检测</w:t>
      </w:r>
      <w:r>
        <w:rPr>
          <w:rFonts w:hint="eastAsia" w:cs="宋体"/>
          <w:b/>
          <w:bCs w:val="0"/>
          <w:snapToGrid w:val="0"/>
          <w:color w:val="auto"/>
          <w:sz w:val="32"/>
          <w:szCs w:val="32"/>
          <w:highlight w:val="none"/>
        </w:rPr>
        <w:t>招标公告</w:t>
      </w:r>
      <w:bookmarkStart w:id="10" w:name="_GoBack"/>
      <w:bookmarkEnd w:id="10"/>
    </w:p>
    <w:p w14:paraId="5737B7D1">
      <w:pPr>
        <w:pStyle w:val="8"/>
        <w:keepNext w:val="0"/>
        <w:keepLines w:val="0"/>
        <w:pageBreakBefore w:val="0"/>
        <w:numPr>
          <w:ilvl w:val="0"/>
          <w:numId w:val="0"/>
        </w:numPr>
        <w:kinsoku/>
        <w:overflowPunct/>
        <w:topLinePunct w:val="0"/>
        <w:autoSpaceDE/>
        <w:autoSpaceDN/>
        <w:bidi w:val="0"/>
        <w:adjustRightInd w:val="0"/>
        <w:snapToGrid w:val="0"/>
        <w:spacing w:line="360" w:lineRule="auto"/>
        <w:ind w:firstLine="562" w:firstLineChars="200"/>
        <w:textAlignment w:val="auto"/>
        <w:rPr>
          <w:rFonts w:hint="eastAsia" w:cs="宋体"/>
          <w:b/>
          <w:bCs/>
          <w:color w:val="auto"/>
          <w:sz w:val="28"/>
          <w:szCs w:val="28"/>
          <w:highlight w:val="none"/>
        </w:rPr>
      </w:pPr>
      <w:r>
        <w:rPr>
          <w:rFonts w:hint="eastAsia" w:cs="宋体"/>
          <w:b/>
          <w:bCs/>
          <w:color w:val="auto"/>
          <w:sz w:val="28"/>
          <w:szCs w:val="28"/>
          <w:highlight w:val="none"/>
        </w:rPr>
        <w:t>1.招标条件</w:t>
      </w:r>
      <w:bookmarkEnd w:id="0"/>
    </w:p>
    <w:p w14:paraId="26523DBA">
      <w:pPr>
        <w:keepNext w:val="0"/>
        <w:keepLines w:val="0"/>
        <w:pageBreakBefore w:val="0"/>
        <w:widowControl w:val="0"/>
        <w:numPr>
          <w:ilvl w:val="1"/>
          <w:numId w:val="0"/>
        </w:numPr>
        <w:tabs>
          <w:tab w:val="left" w:pos="84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1" w:name="_Toc398107828"/>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扬州高新区排水达标示范区三期工程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lang w:eastAsia="zh-CN"/>
        </w:rPr>
        <w:t>扬州高新技术产业开发区行政审批局以扬高开行审投〔2025〕32号</w:t>
      </w:r>
      <w:r>
        <w:rPr>
          <w:rFonts w:hint="eastAsia" w:ascii="宋体" w:hAnsi="宋体" w:eastAsia="宋体" w:cs="宋体"/>
          <w:color w:val="auto"/>
          <w:sz w:val="24"/>
          <w:szCs w:val="24"/>
          <w:highlight w:val="none"/>
        </w:rPr>
        <w:t>批准建设，招标人为</w:t>
      </w:r>
      <w:r>
        <w:rPr>
          <w:rFonts w:hint="eastAsia" w:ascii="宋体" w:hAnsi="宋体" w:eastAsia="宋体" w:cs="宋体"/>
          <w:color w:val="auto"/>
          <w:sz w:val="24"/>
          <w:szCs w:val="24"/>
          <w:highlight w:val="none"/>
          <w:u w:val="single"/>
          <w:lang w:eastAsia="zh-CN"/>
        </w:rPr>
        <w:t>扬州市政管网有限公司</w:t>
      </w:r>
      <w:r>
        <w:rPr>
          <w:rFonts w:hint="eastAsia" w:ascii="宋体" w:hAnsi="宋体" w:eastAsia="宋体" w:cs="宋体"/>
          <w:color w:val="auto"/>
          <w:sz w:val="24"/>
          <w:szCs w:val="24"/>
          <w:highlight w:val="none"/>
        </w:rPr>
        <w:t>，招标</w:t>
      </w:r>
      <w:r>
        <w:rPr>
          <w:rFonts w:hint="eastAsia" w:ascii="宋体" w:hAnsi="宋体" w:eastAsia="宋体" w:cs="宋体"/>
          <w:b w:val="0"/>
          <w:bCs w:val="0"/>
          <w:color w:val="auto"/>
          <w:sz w:val="24"/>
          <w:szCs w:val="24"/>
          <w:highlight w:val="none"/>
        </w:rPr>
        <w:t>代理机构为</w:t>
      </w:r>
      <w:r>
        <w:rPr>
          <w:rFonts w:hint="eastAsia" w:ascii="宋体" w:hAnsi="宋体" w:eastAsia="宋体" w:cs="宋体"/>
          <w:b w:val="0"/>
          <w:bCs w:val="0"/>
          <w:color w:val="auto"/>
          <w:sz w:val="24"/>
          <w:szCs w:val="24"/>
          <w:highlight w:val="none"/>
          <w:u w:val="single"/>
          <w:lang w:eastAsia="zh-CN"/>
        </w:rPr>
        <w:t>江苏苏维工程管理有限公司</w:t>
      </w:r>
      <w:r>
        <w:rPr>
          <w:rFonts w:hint="eastAsia" w:ascii="宋体" w:hAnsi="宋体" w:eastAsia="宋体" w:cs="宋体"/>
          <w:b w:val="0"/>
          <w:bCs w:val="0"/>
          <w:color w:val="auto"/>
          <w:sz w:val="24"/>
          <w:szCs w:val="24"/>
          <w:highlight w:val="none"/>
        </w:rPr>
        <w:t>，建设资金来自</w:t>
      </w:r>
      <w:r>
        <w:rPr>
          <w:rFonts w:hint="eastAsia" w:ascii="宋体" w:hAnsi="宋体" w:eastAsia="宋体" w:cs="宋体"/>
          <w:color w:val="auto"/>
          <w:sz w:val="24"/>
          <w:szCs w:val="24"/>
          <w:highlight w:val="none"/>
          <w:u w:val="single"/>
          <w:lang w:val="en-US" w:eastAsia="zh-CN"/>
        </w:rPr>
        <w:t>财政</w:t>
      </w:r>
      <w:r>
        <w:rPr>
          <w:rFonts w:hint="eastAsia" w:cs="宋体"/>
          <w:color w:val="auto"/>
          <w:sz w:val="24"/>
          <w:szCs w:val="24"/>
          <w:highlight w:val="none"/>
        </w:rPr>
        <w:t>，项目出资比例为</w:t>
      </w:r>
      <w:r>
        <w:rPr>
          <w:rFonts w:hint="eastAsia" w:cs="宋体"/>
          <w:color w:val="auto"/>
          <w:sz w:val="24"/>
          <w:szCs w:val="24"/>
          <w:highlight w:val="none"/>
          <w:u w:val="single"/>
        </w:rPr>
        <w:t xml:space="preserve">100% </w:t>
      </w:r>
      <w:r>
        <w:rPr>
          <w:rFonts w:hint="eastAsia" w:cs="宋体"/>
          <w:color w:val="auto"/>
          <w:sz w:val="24"/>
          <w:szCs w:val="24"/>
          <w:highlight w:val="none"/>
        </w:rPr>
        <w:t>。项目已具备招标条件，现对该项目</w:t>
      </w:r>
      <w:r>
        <w:rPr>
          <w:rFonts w:hint="eastAsia" w:cs="宋体"/>
          <w:color w:val="auto"/>
          <w:sz w:val="24"/>
          <w:szCs w:val="24"/>
          <w:highlight w:val="none"/>
          <w:u w:val="single"/>
          <w:lang w:eastAsia="zh-CN"/>
        </w:rPr>
        <w:t>扬州高新区排水达标示范区三期工程（二标段）材料</w:t>
      </w:r>
      <w:r>
        <w:rPr>
          <w:rFonts w:hint="eastAsia" w:cs="宋体"/>
          <w:color w:val="auto"/>
          <w:sz w:val="24"/>
          <w:szCs w:val="24"/>
          <w:highlight w:val="none"/>
          <w:u w:val="single"/>
          <w:lang w:val="en-US" w:eastAsia="zh-CN"/>
        </w:rPr>
        <w:t>检测</w:t>
      </w:r>
      <w:r>
        <w:rPr>
          <w:rFonts w:hint="eastAsia" w:cs="宋体"/>
          <w:color w:val="auto"/>
          <w:sz w:val="24"/>
          <w:szCs w:val="24"/>
          <w:highlight w:val="none"/>
        </w:rPr>
        <w:t>进行公开招标，特邀请有兴趣的潜在投标人参加投标</w:t>
      </w:r>
      <w:r>
        <w:rPr>
          <w:rFonts w:hint="eastAsia" w:cs="宋体"/>
          <w:color w:val="auto"/>
          <w:sz w:val="24"/>
          <w:szCs w:val="24"/>
          <w:highlight w:val="none"/>
          <w:lang w:eastAsia="zh-CN"/>
        </w:rPr>
        <w:t>。</w:t>
      </w:r>
    </w:p>
    <w:p w14:paraId="1A89163A">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cs="宋体"/>
          <w:b/>
          <w:bCs/>
          <w:color w:val="auto"/>
          <w:sz w:val="32"/>
          <w:szCs w:val="32"/>
          <w:highlight w:val="none"/>
        </w:rPr>
      </w:pPr>
      <w:r>
        <w:rPr>
          <w:rFonts w:hint="eastAsia" w:cs="宋体"/>
          <w:b/>
          <w:bCs/>
          <w:color w:val="auto"/>
          <w:sz w:val="28"/>
          <w:szCs w:val="28"/>
          <w:highlight w:val="none"/>
        </w:rPr>
        <w:t>2.项目概况与招标范围</w:t>
      </w:r>
      <w:bookmarkEnd w:id="1"/>
    </w:p>
    <w:p w14:paraId="183472E0">
      <w:pPr>
        <w:keepNext w:val="0"/>
        <w:keepLines w:val="0"/>
        <w:pageBreakBefore w:val="0"/>
        <w:widowControl/>
        <w:kinsoku/>
        <w:wordWrap/>
        <w:overflowPunct/>
        <w:topLinePunct w:val="0"/>
        <w:autoSpaceDE/>
        <w:autoSpaceDN/>
        <w:bidi w:val="0"/>
        <w:adjustRightInd w:val="0"/>
        <w:snapToGrid w:val="0"/>
        <w:spacing w:line="360" w:lineRule="auto"/>
        <w:ind w:firstLine="437"/>
        <w:jc w:val="left"/>
        <w:rPr>
          <w:rFonts w:cs="宋体"/>
          <w:color w:val="auto"/>
          <w:sz w:val="24"/>
          <w:szCs w:val="24"/>
          <w:highlight w:val="none"/>
        </w:rPr>
      </w:pPr>
      <w:r>
        <w:rPr>
          <w:rFonts w:cs="宋体"/>
          <w:color w:val="auto"/>
          <w:sz w:val="24"/>
          <w:szCs w:val="24"/>
          <w:highlight w:val="none"/>
        </w:rPr>
        <w:t>2.1 建设地点：</w:t>
      </w:r>
      <w:r>
        <w:rPr>
          <w:rFonts w:hint="eastAsia" w:cs="宋体"/>
          <w:color w:val="auto"/>
          <w:sz w:val="24"/>
          <w:szCs w:val="24"/>
          <w:highlight w:val="none"/>
          <w:u w:val="single"/>
        </w:rPr>
        <w:t>扬州市高新技术产业开发区北园及汊河镇区。</w:t>
      </w:r>
    </w:p>
    <w:p w14:paraId="7A7DFBC8">
      <w:pPr>
        <w:keepNext w:val="0"/>
        <w:keepLines w:val="0"/>
        <w:pageBreakBefore w:val="0"/>
        <w:widowControl/>
        <w:kinsoku/>
        <w:wordWrap/>
        <w:overflowPunct/>
        <w:topLinePunct w:val="0"/>
        <w:autoSpaceDE/>
        <w:autoSpaceDN/>
        <w:bidi w:val="0"/>
        <w:adjustRightInd w:val="0"/>
        <w:snapToGrid w:val="0"/>
        <w:spacing w:line="360" w:lineRule="auto"/>
        <w:ind w:firstLine="437"/>
        <w:jc w:val="left"/>
        <w:rPr>
          <w:rFonts w:hint="eastAsia" w:cs="宋体"/>
          <w:color w:val="auto"/>
          <w:sz w:val="24"/>
          <w:szCs w:val="24"/>
          <w:highlight w:val="none"/>
        </w:rPr>
      </w:pPr>
      <w:r>
        <w:rPr>
          <w:rFonts w:cs="宋体"/>
          <w:color w:val="auto"/>
          <w:sz w:val="24"/>
          <w:szCs w:val="24"/>
          <w:highlight w:val="none"/>
        </w:rPr>
        <w:t>2.2 工程规模：</w:t>
      </w:r>
      <w:r>
        <w:rPr>
          <w:rFonts w:hint="eastAsia" w:ascii="宋体" w:hAnsi="宋体" w:eastAsia="宋体" w:cs="宋体"/>
          <w:color w:val="auto"/>
          <w:sz w:val="24"/>
          <w:szCs w:val="24"/>
          <w:highlight w:val="none"/>
          <w:u w:val="single"/>
          <w:lang w:val="en-US" w:eastAsia="zh-CN"/>
        </w:rPr>
        <w:t>由江阳西路-完美路-沪陕高速-润扬快速路-长河路合围范围以及汊河部分小区公建及道路（富康城、宾北楼、农业银行、金贸楼、老信用社楼、园丁楼、利民路）等，总面积约为4.8km2。对达标区范围内富康城、秦巷小区、绿地上方公馆东庭及月城熙庭等8个小区，宾北楼、农业银行、月城科技广场等15个公建，扬州辛普森工程设备有限公司、奥美丽实业有限公司、扬州威克生物工程有限公司等65个工业企业，利民路（祥源路-吉安北路）、完美路（江阳西路-扬力路）、G328国道（江阳西路-润扬路）等13条市政道路开展排水系统调查及达标建设，主要包括排水户接管改造、雨污分流及排水设施修缮、雨污水管网翻建等。</w:t>
      </w:r>
    </w:p>
    <w:p w14:paraId="6B23F570">
      <w:pPr>
        <w:keepNext w:val="0"/>
        <w:keepLines w:val="0"/>
        <w:pageBreakBefore w:val="0"/>
        <w:widowControl/>
        <w:kinsoku/>
        <w:wordWrap/>
        <w:overflowPunct/>
        <w:topLinePunct w:val="0"/>
        <w:autoSpaceDE/>
        <w:autoSpaceDN/>
        <w:bidi w:val="0"/>
        <w:adjustRightInd w:val="0"/>
        <w:snapToGrid w:val="0"/>
        <w:spacing w:line="360" w:lineRule="auto"/>
        <w:ind w:firstLine="437"/>
        <w:jc w:val="left"/>
        <w:rPr>
          <w:rFonts w:hint="eastAsia"/>
          <w:color w:val="auto"/>
          <w:sz w:val="24"/>
          <w:szCs w:val="24"/>
          <w:highlight w:val="none"/>
          <w:u w:val="single"/>
        </w:rPr>
      </w:pPr>
      <w:r>
        <w:rPr>
          <w:rFonts w:hint="eastAsia" w:cs="宋体"/>
          <w:color w:val="auto"/>
          <w:sz w:val="24"/>
          <w:szCs w:val="24"/>
          <w:highlight w:val="none"/>
        </w:rPr>
        <w:t>2.3 招标范围：</w:t>
      </w:r>
      <w:r>
        <w:rPr>
          <w:rFonts w:hint="eastAsia" w:cs="宋体"/>
          <w:color w:val="auto"/>
          <w:sz w:val="24"/>
          <w:szCs w:val="24"/>
          <w:highlight w:val="none"/>
          <w:u w:val="single"/>
        </w:rPr>
        <w:t>本工程有关材料、成品、半成品等所有项目的检测、建设工程质量检测及其他必要的检测服务。投标单位按照相关国家、地方规定进行检测，检测数量由投标单位按国家和地方的有关规定及设计要求执行</w:t>
      </w:r>
      <w:r>
        <w:rPr>
          <w:rFonts w:hint="eastAsia" w:cs="宋体"/>
          <w:color w:val="auto"/>
          <w:sz w:val="24"/>
          <w:szCs w:val="24"/>
          <w:highlight w:val="none"/>
          <w:u w:val="single"/>
          <w:lang w:bidi="ar"/>
        </w:rPr>
        <w:t>。</w:t>
      </w:r>
    </w:p>
    <w:p w14:paraId="4242FA2D">
      <w:pPr>
        <w:keepNext w:val="0"/>
        <w:keepLines w:val="0"/>
        <w:pageBreakBefore w:val="0"/>
        <w:kinsoku/>
        <w:wordWrap/>
        <w:overflowPunct/>
        <w:topLinePunct w:val="0"/>
        <w:autoSpaceDE/>
        <w:autoSpaceDN/>
        <w:bidi w:val="0"/>
        <w:adjustRightInd w:val="0"/>
        <w:snapToGrid w:val="0"/>
        <w:spacing w:line="360" w:lineRule="auto"/>
        <w:ind w:firstLine="437"/>
        <w:rPr>
          <w:rFonts w:hint="eastAsia" w:eastAsia="宋体" w:cs="宋体"/>
          <w:color w:val="auto"/>
          <w:sz w:val="24"/>
          <w:szCs w:val="24"/>
          <w:highlight w:val="none"/>
          <w:u w:val="single"/>
          <w:lang w:eastAsia="zh-CN"/>
        </w:rPr>
      </w:pPr>
      <w:r>
        <w:rPr>
          <w:rFonts w:hint="eastAsia" w:cs="宋体"/>
          <w:color w:val="auto"/>
          <w:sz w:val="24"/>
          <w:szCs w:val="24"/>
          <w:highlight w:val="none"/>
        </w:rPr>
        <w:t>2.4 检测周期：</w:t>
      </w:r>
      <w:r>
        <w:rPr>
          <w:rFonts w:hint="eastAsia" w:cs="宋体"/>
          <w:color w:val="auto"/>
          <w:sz w:val="24"/>
          <w:szCs w:val="24"/>
          <w:highlight w:val="none"/>
          <w:u w:val="single"/>
        </w:rPr>
        <w:t>本项目按施工进度需多次进场检测，当招标人通知进行检测时，中标人必须及时到达施工现场进行检测，服务期间中标人应主动跟踪现场施工进度</w:t>
      </w:r>
      <w:r>
        <w:rPr>
          <w:rFonts w:hint="eastAsia" w:cs="宋体"/>
          <w:color w:val="auto"/>
          <w:sz w:val="24"/>
          <w:szCs w:val="24"/>
          <w:highlight w:val="none"/>
          <w:u w:val="single"/>
          <w:lang w:eastAsia="zh-CN"/>
        </w:rPr>
        <w:t>。</w:t>
      </w:r>
    </w:p>
    <w:p w14:paraId="7024A95F">
      <w:pPr>
        <w:keepNext w:val="0"/>
        <w:keepLines w:val="0"/>
        <w:pageBreakBefore w:val="0"/>
        <w:kinsoku/>
        <w:wordWrap/>
        <w:overflowPunct/>
        <w:topLinePunct w:val="0"/>
        <w:autoSpaceDE/>
        <w:autoSpaceDN/>
        <w:bidi w:val="0"/>
        <w:adjustRightInd w:val="0"/>
        <w:snapToGrid w:val="0"/>
        <w:spacing w:line="360" w:lineRule="auto"/>
        <w:ind w:firstLine="437"/>
        <w:rPr>
          <w:rFonts w:hint="default" w:cs="宋体"/>
          <w:color w:val="auto"/>
          <w:sz w:val="24"/>
          <w:szCs w:val="24"/>
          <w:highlight w:val="none"/>
          <w:u w:val="single"/>
          <w:lang w:val="en-US"/>
        </w:rPr>
      </w:pPr>
      <w:r>
        <w:rPr>
          <w:rFonts w:hint="eastAsia" w:cs="宋体"/>
          <w:color w:val="auto"/>
          <w:sz w:val="24"/>
          <w:szCs w:val="24"/>
          <w:highlight w:val="none"/>
        </w:rPr>
        <w:t>2.5 合同估算价：</w:t>
      </w:r>
      <w:r>
        <w:rPr>
          <w:rFonts w:hint="eastAsia" w:cs="宋体"/>
          <w:color w:val="auto"/>
          <w:sz w:val="24"/>
          <w:szCs w:val="24"/>
          <w:highlight w:val="none"/>
          <w:u w:val="single"/>
          <w:lang w:val="en-US" w:eastAsia="zh-CN"/>
        </w:rPr>
        <w:t>约49.9万元</w:t>
      </w:r>
    </w:p>
    <w:p w14:paraId="232EA3B9">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rPr>
          <w:rFonts w:hint="eastAsia" w:cs="宋体"/>
          <w:color w:val="auto"/>
          <w:sz w:val="24"/>
          <w:szCs w:val="24"/>
          <w:highlight w:val="none"/>
          <w:u w:val="single"/>
        </w:rPr>
      </w:pPr>
      <w:r>
        <w:rPr>
          <w:rFonts w:hint="eastAsia" w:cs="宋体"/>
          <w:color w:val="auto"/>
          <w:sz w:val="24"/>
          <w:szCs w:val="24"/>
          <w:highlight w:val="none"/>
        </w:rPr>
        <w:t>2.</w:t>
      </w:r>
      <w:r>
        <w:rPr>
          <w:rFonts w:hint="eastAsia" w:cs="宋体"/>
          <w:color w:val="auto"/>
          <w:sz w:val="24"/>
          <w:szCs w:val="24"/>
          <w:highlight w:val="none"/>
          <w:lang w:val="en-US" w:eastAsia="zh-CN"/>
        </w:rPr>
        <w:t>6</w:t>
      </w:r>
      <w:r>
        <w:rPr>
          <w:rFonts w:hint="eastAsia" w:cs="宋体"/>
          <w:color w:val="auto"/>
          <w:sz w:val="24"/>
          <w:szCs w:val="24"/>
          <w:highlight w:val="none"/>
        </w:rPr>
        <w:t xml:space="preserve"> 质量要求：</w:t>
      </w:r>
      <w:r>
        <w:rPr>
          <w:rFonts w:hint="eastAsia" w:cs="宋体"/>
          <w:color w:val="auto"/>
          <w:sz w:val="24"/>
          <w:szCs w:val="24"/>
          <w:highlight w:val="none"/>
          <w:u w:val="single"/>
        </w:rPr>
        <w:t>符合国家现行相关规范的要求</w:t>
      </w:r>
    </w:p>
    <w:p w14:paraId="76EE6B26">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cs="宋体"/>
          <w:b/>
          <w:bCs/>
          <w:color w:val="auto"/>
          <w:sz w:val="28"/>
          <w:szCs w:val="28"/>
          <w:highlight w:val="none"/>
        </w:rPr>
      </w:pPr>
      <w:bookmarkStart w:id="2" w:name="_Toc398107829"/>
      <w:r>
        <w:rPr>
          <w:rFonts w:hint="eastAsia" w:cs="宋体"/>
          <w:b/>
          <w:bCs/>
          <w:color w:val="auto"/>
          <w:sz w:val="28"/>
          <w:szCs w:val="28"/>
          <w:highlight w:val="none"/>
        </w:rPr>
        <w:t>3.投标人资格要求</w:t>
      </w:r>
      <w:bookmarkEnd w:id="2"/>
    </w:p>
    <w:p w14:paraId="3ADE79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本次招标采取资格后审方式，对投标人应具备的资格要求如下：</w:t>
      </w:r>
    </w:p>
    <w:p w14:paraId="0C2373F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 xml:space="preserve">3.1 具有独立订立合同的能力；  </w:t>
      </w:r>
    </w:p>
    <w:p w14:paraId="69924F4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3.2 未处于被责令停业、投标资格被取消或者财产被接管、冻结和破产状态；</w:t>
      </w:r>
    </w:p>
    <w:p w14:paraId="1C884C6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3.3 企业及项目负责人没有因骗取中标或者严重违约以及发生重大工程质量、安全生产事故等违法违规问题，被有关部门暂停投标资格并在暂停期内；</w:t>
      </w:r>
    </w:p>
    <w:p w14:paraId="5E5000B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3.4 本次招标要求投标人</w:t>
      </w:r>
      <w:r>
        <w:rPr>
          <w:rFonts w:hint="eastAsia" w:ascii="宋体" w:hAnsi="宋体" w:eastAsia="宋体" w:cs="宋体"/>
          <w:i w:val="0"/>
          <w:iCs w:val="0"/>
          <w:caps w:val="0"/>
          <w:color w:val="auto"/>
          <w:spacing w:val="0"/>
          <w:sz w:val="24"/>
          <w:szCs w:val="24"/>
          <w:highlight w:val="none"/>
          <w:u w:val="single"/>
          <w:shd w:val="clear" w:color="auto" w:fill="FFFFFF"/>
        </w:rPr>
        <w:t>具备省住建厅（原建设厅）颁发的《建设工程质量检测机构资质证书》（需具备见证取样检测）、</w:t>
      </w:r>
      <w:r>
        <w:rPr>
          <w:rFonts w:hint="eastAsia" w:eastAsia="宋体" w:cs="宋体"/>
          <w:i w:val="0"/>
          <w:iCs w:val="0"/>
          <w:caps w:val="0"/>
          <w:color w:val="auto"/>
          <w:spacing w:val="0"/>
          <w:sz w:val="24"/>
          <w:szCs w:val="24"/>
          <w:highlight w:val="none"/>
          <w:u w:val="single"/>
          <w:shd w:val="clear" w:color="auto" w:fill="FFFFFF"/>
          <w:lang w:eastAsia="zh-CN"/>
        </w:rPr>
        <w:t>具备</w:t>
      </w:r>
      <w:r>
        <w:rPr>
          <w:rFonts w:hint="eastAsia" w:ascii="宋体" w:hAnsi="宋体" w:eastAsia="宋体" w:cs="宋体"/>
          <w:i w:val="0"/>
          <w:iCs w:val="0"/>
          <w:caps w:val="0"/>
          <w:color w:val="auto"/>
          <w:spacing w:val="0"/>
          <w:sz w:val="24"/>
          <w:szCs w:val="24"/>
          <w:highlight w:val="none"/>
          <w:u w:val="single"/>
          <w:shd w:val="clear" w:color="auto" w:fill="FFFFFF"/>
        </w:rPr>
        <w:t>检验检测机构资质认定证书（省质量技术监督局或省级市场监督管理局颁发的计量认证）、</w:t>
      </w:r>
      <w:r>
        <w:rPr>
          <w:rFonts w:hint="eastAsia" w:eastAsia="宋体" w:cs="宋体"/>
          <w:i w:val="0"/>
          <w:iCs w:val="0"/>
          <w:caps w:val="0"/>
          <w:color w:val="auto"/>
          <w:spacing w:val="0"/>
          <w:sz w:val="24"/>
          <w:szCs w:val="24"/>
          <w:highlight w:val="none"/>
          <w:u w:val="single"/>
          <w:shd w:val="clear" w:color="auto" w:fill="FFFFFF"/>
          <w:lang w:eastAsia="zh-CN"/>
        </w:rPr>
        <w:t>具备</w:t>
      </w:r>
      <w:r>
        <w:rPr>
          <w:rFonts w:hint="eastAsia" w:ascii="宋体" w:hAnsi="宋体" w:eastAsia="宋体" w:cs="宋体"/>
          <w:i w:val="0"/>
          <w:iCs w:val="0"/>
          <w:caps w:val="0"/>
          <w:color w:val="auto"/>
          <w:spacing w:val="0"/>
          <w:sz w:val="24"/>
          <w:szCs w:val="24"/>
          <w:highlight w:val="none"/>
          <w:u w:val="single"/>
          <w:shd w:val="clear" w:color="auto" w:fill="FFFFFF"/>
        </w:rPr>
        <w:t>江苏省建设工程质量检测机构资质证书（备案类）。</w:t>
      </w:r>
    </w:p>
    <w:p w14:paraId="5ED251AE">
      <w:pPr>
        <w:pStyle w:val="9"/>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cs="宋体"/>
          <w:color w:val="auto"/>
          <w:sz w:val="24"/>
          <w:szCs w:val="24"/>
          <w:highlight w:val="none"/>
          <w:u w:val="single"/>
        </w:rPr>
      </w:pPr>
      <w:r>
        <w:rPr>
          <w:rFonts w:hint="eastAsia" w:cs="宋体"/>
          <w:color w:val="auto"/>
          <w:sz w:val="24"/>
          <w:szCs w:val="24"/>
          <w:highlight w:val="none"/>
        </w:rPr>
        <w:t>3.5本次招标对投标人拟派项目负责人的要求：</w:t>
      </w:r>
      <w:r>
        <w:rPr>
          <w:rFonts w:hint="eastAsia" w:cs="宋体"/>
          <w:color w:val="auto"/>
          <w:sz w:val="24"/>
          <w:szCs w:val="24"/>
          <w:highlight w:val="none"/>
          <w:u w:val="single"/>
        </w:rPr>
        <w:t>必须是投标单位正式职工，</w:t>
      </w:r>
      <w:r>
        <w:rPr>
          <w:rFonts w:hint="eastAsia" w:cs="宋体"/>
          <w:color w:val="auto"/>
          <w:sz w:val="24"/>
          <w:szCs w:val="24"/>
          <w:highlight w:val="none"/>
          <w:u w:val="single"/>
          <w:lang w:eastAsia="zh-CN"/>
        </w:rPr>
        <w:t>具备</w:t>
      </w:r>
      <w:r>
        <w:rPr>
          <w:rFonts w:hint="eastAsia" w:cs="宋体"/>
          <w:color w:val="auto"/>
          <w:sz w:val="24"/>
          <w:szCs w:val="24"/>
          <w:highlight w:val="none"/>
          <w:u w:val="single"/>
        </w:rPr>
        <w:t>《江苏省建设工程质量检测人员岗位证书》或《江苏省建设工程质量检测人员检测技术培训证书》。</w:t>
      </w:r>
    </w:p>
    <w:p w14:paraId="4B9AEF83">
      <w:pPr>
        <w:pStyle w:val="9"/>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80" w:firstLineChars="200"/>
        <w:textAlignment w:val="auto"/>
        <w:rPr>
          <w:rFonts w:hint="eastAsia" w:cs="宋体"/>
          <w:color w:val="auto"/>
          <w:sz w:val="24"/>
          <w:szCs w:val="24"/>
          <w:highlight w:val="none"/>
          <w:u w:val="single"/>
        </w:rPr>
      </w:pPr>
      <w:r>
        <w:rPr>
          <w:rFonts w:hint="eastAsia" w:cs="宋体"/>
          <w:color w:val="auto"/>
          <w:sz w:val="24"/>
          <w:szCs w:val="24"/>
          <w:highlight w:val="none"/>
          <w:u w:val="single"/>
        </w:rPr>
        <w:t xml:space="preserve">拟派项目负责人未同时在两个或者两个以上单位受聘或者执业，包括：（1）同时在两个及以上单位签订劳动合同或交纳社会保险；（2）将本人执（职）业资格证书同时注册在两个及以上单位。 </w:t>
      </w:r>
    </w:p>
    <w:p w14:paraId="2ADE59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3.6本次招标</w:t>
      </w:r>
      <w:r>
        <w:rPr>
          <w:rFonts w:hint="eastAsia" w:cs="宋体"/>
          <w:color w:val="auto"/>
          <w:sz w:val="24"/>
          <w:szCs w:val="24"/>
          <w:highlight w:val="none"/>
          <w:u w:val="single"/>
          <w:lang w:val="en-US" w:eastAsia="zh-CN"/>
        </w:rPr>
        <w:t>不</w:t>
      </w:r>
      <w:r>
        <w:rPr>
          <w:rFonts w:hint="eastAsia" w:cs="宋体"/>
          <w:color w:val="auto"/>
          <w:sz w:val="24"/>
          <w:szCs w:val="24"/>
          <w:highlight w:val="none"/>
          <w:u w:val="single"/>
        </w:rPr>
        <w:t>接受</w:t>
      </w:r>
      <w:r>
        <w:rPr>
          <w:rFonts w:hint="eastAsia" w:cs="宋体"/>
          <w:color w:val="auto"/>
          <w:sz w:val="24"/>
          <w:szCs w:val="24"/>
          <w:highlight w:val="none"/>
        </w:rPr>
        <w:t>联合体投标。</w:t>
      </w:r>
    </w:p>
    <w:p w14:paraId="738684A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bookmarkStart w:id="3" w:name="_Toc382549717"/>
      <w:bookmarkStart w:id="4" w:name="_Toc382549577"/>
      <w:r>
        <w:rPr>
          <w:rFonts w:hint="eastAsia" w:cs="宋体"/>
          <w:color w:val="auto"/>
          <w:sz w:val="24"/>
          <w:szCs w:val="24"/>
          <w:highlight w:val="none"/>
        </w:rPr>
        <w:t>3.7 其它要求：</w:t>
      </w:r>
    </w:p>
    <w:p w14:paraId="2A8E7F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sz w:val="24"/>
          <w:szCs w:val="24"/>
          <w:highlight w:val="none"/>
        </w:rPr>
      </w:pPr>
      <w:r>
        <w:rPr>
          <w:rFonts w:hint="eastAsia" w:cs="宋体"/>
          <w:color w:val="auto"/>
          <w:sz w:val="24"/>
          <w:szCs w:val="24"/>
          <w:highlight w:val="none"/>
        </w:rPr>
        <w:t>3.7.1 投标人</w:t>
      </w:r>
      <w:r>
        <w:rPr>
          <w:rFonts w:hint="eastAsia" w:cs="宋体"/>
          <w:color w:val="auto"/>
          <w:sz w:val="24"/>
          <w:szCs w:val="24"/>
          <w:highlight w:val="none"/>
          <w:u w:val="single"/>
          <w:lang w:eastAsia="zh-CN"/>
        </w:rPr>
        <w:t>202</w:t>
      </w:r>
      <w:r>
        <w:rPr>
          <w:rFonts w:hint="eastAsia" w:cs="宋体"/>
          <w:color w:val="auto"/>
          <w:sz w:val="24"/>
          <w:szCs w:val="24"/>
          <w:highlight w:val="none"/>
          <w:u w:val="single"/>
          <w:lang w:val="en-US" w:eastAsia="zh-CN"/>
        </w:rPr>
        <w:t>5</w:t>
      </w:r>
      <w:r>
        <w:rPr>
          <w:rFonts w:hint="eastAsia" w:cs="宋体"/>
          <w:color w:val="auto"/>
          <w:sz w:val="24"/>
          <w:szCs w:val="24"/>
          <w:highlight w:val="none"/>
          <w:u w:val="single"/>
          <w:lang w:eastAsia="zh-CN"/>
        </w:rPr>
        <w:t>年</w:t>
      </w:r>
      <w:r>
        <w:rPr>
          <w:rFonts w:hint="eastAsia" w:cs="宋体"/>
          <w:color w:val="auto"/>
          <w:sz w:val="24"/>
          <w:szCs w:val="24"/>
          <w:highlight w:val="none"/>
          <w:u w:val="single"/>
          <w:lang w:val="en-US" w:eastAsia="zh-CN"/>
        </w:rPr>
        <w:t>7</w:t>
      </w:r>
      <w:r>
        <w:rPr>
          <w:rFonts w:hint="eastAsia" w:cs="宋体"/>
          <w:color w:val="auto"/>
          <w:sz w:val="24"/>
          <w:szCs w:val="24"/>
          <w:highlight w:val="none"/>
          <w:u w:val="single"/>
          <w:lang w:eastAsia="zh-CN"/>
        </w:rPr>
        <w:t>月至202</w:t>
      </w:r>
      <w:r>
        <w:rPr>
          <w:rFonts w:hint="eastAsia" w:cs="宋体"/>
          <w:color w:val="auto"/>
          <w:sz w:val="24"/>
          <w:szCs w:val="24"/>
          <w:highlight w:val="none"/>
          <w:u w:val="single"/>
          <w:lang w:val="en-US" w:eastAsia="zh-CN"/>
        </w:rPr>
        <w:t>5</w:t>
      </w:r>
      <w:r>
        <w:rPr>
          <w:rFonts w:hint="eastAsia" w:cs="宋体"/>
          <w:color w:val="auto"/>
          <w:sz w:val="24"/>
          <w:szCs w:val="24"/>
          <w:highlight w:val="none"/>
          <w:u w:val="single"/>
          <w:lang w:eastAsia="zh-CN"/>
        </w:rPr>
        <w:t>年</w:t>
      </w:r>
      <w:r>
        <w:rPr>
          <w:rFonts w:hint="eastAsia" w:cs="宋体"/>
          <w:color w:val="auto"/>
          <w:sz w:val="24"/>
          <w:szCs w:val="24"/>
          <w:highlight w:val="none"/>
          <w:u w:val="single"/>
          <w:lang w:val="en-US" w:eastAsia="zh-CN"/>
        </w:rPr>
        <w:t>9</w:t>
      </w:r>
      <w:r>
        <w:rPr>
          <w:rFonts w:hint="eastAsia" w:cs="宋体"/>
          <w:color w:val="auto"/>
          <w:sz w:val="24"/>
          <w:szCs w:val="24"/>
          <w:highlight w:val="none"/>
          <w:u w:val="single"/>
          <w:lang w:eastAsia="zh-CN"/>
        </w:rPr>
        <w:t>月任意一个月</w:t>
      </w:r>
      <w:r>
        <w:rPr>
          <w:rFonts w:hint="eastAsia" w:cs="宋体"/>
          <w:color w:val="auto"/>
          <w:sz w:val="24"/>
          <w:szCs w:val="24"/>
          <w:highlight w:val="none"/>
        </w:rPr>
        <w:t>为拟派项目负责人、授权委托人正常缴纳养老保险。</w:t>
      </w:r>
      <w:r>
        <w:rPr>
          <w:rFonts w:hint="eastAsia" w:ascii="宋体" w:hAnsi="宋体" w:eastAsia="宋体" w:cs="宋体"/>
          <w:color w:val="auto"/>
          <w:sz w:val="24"/>
          <w:szCs w:val="24"/>
          <w:highlight w:val="none"/>
          <w:lang w:eastAsia="zh-CN"/>
        </w:rPr>
        <w:t>(应提供由劳动部门出具的养老保险证明</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如当地社保管理部门明确的最大查询期与招标文件规定的月份不一致时，须提供社保管理部门的文件规定；已退休人员提供退休证明；截止日前成立不足3个月的新办企业只需提供缴纳名册（名册中包含授权委托人、拟派项目负责人）；新成立企业距投标截止日不足30日的，可不提供证明材料（以新办企业营业执照发放日期为准）</w:t>
      </w:r>
    </w:p>
    <w:p w14:paraId="5552B8D7">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3.7.2 根据“关于印发《关于在公共资源交易领域的招标投标活动中建立对失信被执行人联合惩戒的实施意见》的通知（苏信用办（2018）23号）”的要求，增加对失信被执行人惩戒措施。（1）评标中的惩戒措施，在评标阶段，投标人正被列为失信被执行人的，评标委员会不得荐该投标人为中标候选人。（2）中标人确定的惩戒，在中标候选人公示至发出中标结果通知书的期间，公示的中标候选人正被列为失信被执行人的，招标人应当取消其中标资格，并重新确定中标人。招标人确定正被列为失信被执行人的投标人为中标人的，中标结果无效。失信被执行人名单在“信用中国”和“信用江苏”网站予以公示。</w:t>
      </w:r>
    </w:p>
    <w:bookmarkEnd w:id="3"/>
    <w:bookmarkEnd w:id="4"/>
    <w:p w14:paraId="01C356DD">
      <w:pPr>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3.8 符合法律法规规定的其它要求。</w:t>
      </w:r>
    </w:p>
    <w:p w14:paraId="0DA13283">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cs="宋体"/>
          <w:b/>
          <w:bCs/>
          <w:color w:val="auto"/>
          <w:sz w:val="32"/>
          <w:szCs w:val="32"/>
          <w:highlight w:val="none"/>
        </w:rPr>
      </w:pPr>
      <w:bookmarkStart w:id="5" w:name="_Toc398107830"/>
      <w:r>
        <w:rPr>
          <w:rFonts w:hint="eastAsia" w:cs="宋体"/>
          <w:b/>
          <w:bCs/>
          <w:color w:val="auto"/>
          <w:sz w:val="28"/>
          <w:szCs w:val="28"/>
          <w:highlight w:val="none"/>
        </w:rPr>
        <w:t>4.评标办法</w:t>
      </w:r>
      <w:bookmarkEnd w:id="5"/>
    </w:p>
    <w:p w14:paraId="385F74EF">
      <w:pPr>
        <w:pStyle w:val="8"/>
        <w:keepNext w:val="0"/>
        <w:keepLines w:val="0"/>
        <w:pageBreakBefore w:val="0"/>
        <w:numPr>
          <w:ilvl w:val="0"/>
          <w:numId w:val="0"/>
        </w:numPr>
        <w:kinsoku/>
        <w:overflowPunct/>
        <w:topLinePunct w:val="0"/>
        <w:autoSpaceDE/>
        <w:autoSpaceDN/>
        <w:bidi w:val="0"/>
        <w:adjustRightInd w:val="0"/>
        <w:snapToGrid w:val="0"/>
        <w:spacing w:line="360" w:lineRule="auto"/>
        <w:ind w:firstLine="480" w:firstLineChars="200"/>
        <w:rPr>
          <w:rFonts w:hint="eastAsia" w:eastAsia="宋体" w:cs="宋体"/>
          <w:color w:val="auto"/>
          <w:sz w:val="24"/>
          <w:szCs w:val="24"/>
          <w:highlight w:val="none"/>
          <w:u w:val="single"/>
          <w:lang w:eastAsia="zh-CN"/>
        </w:rPr>
      </w:pPr>
      <w:bookmarkStart w:id="6" w:name="_Toc398107831"/>
      <w:r>
        <w:rPr>
          <w:rFonts w:hint="eastAsia" w:cs="宋体"/>
          <w:bCs/>
          <w:color w:val="auto"/>
          <w:sz w:val="24"/>
          <w:szCs w:val="24"/>
          <w:highlight w:val="none"/>
          <w:u w:val="none"/>
          <w:lang w:eastAsia="zh-CN"/>
        </w:rPr>
        <w:t>采用综合评估法</w:t>
      </w:r>
      <w:r>
        <w:rPr>
          <w:rFonts w:hint="eastAsia" w:cs="宋体"/>
          <w:bCs/>
          <w:color w:val="auto"/>
          <w:sz w:val="24"/>
          <w:szCs w:val="24"/>
          <w:highlight w:val="none"/>
          <w:u w:val="none"/>
        </w:rPr>
        <w:t>，评标标准和方法详见招标文件</w:t>
      </w:r>
      <w:r>
        <w:rPr>
          <w:rFonts w:hint="eastAsia" w:cs="宋体"/>
          <w:bCs/>
          <w:color w:val="auto"/>
          <w:sz w:val="24"/>
          <w:szCs w:val="24"/>
          <w:highlight w:val="none"/>
          <w:u w:val="none"/>
          <w:lang w:eastAsia="zh-CN"/>
        </w:rPr>
        <w:t>。</w:t>
      </w:r>
    </w:p>
    <w:p w14:paraId="349AA6D6">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cs="宋体"/>
          <w:b/>
          <w:bCs/>
          <w:color w:val="auto"/>
          <w:sz w:val="32"/>
          <w:szCs w:val="32"/>
          <w:highlight w:val="none"/>
        </w:rPr>
      </w:pPr>
      <w:r>
        <w:rPr>
          <w:rFonts w:hint="eastAsia" w:ascii="宋体" w:hAnsi="宋体" w:eastAsia="宋体" w:cs="宋体"/>
          <w:b/>
          <w:bCs/>
          <w:color w:val="auto"/>
          <w:sz w:val="28"/>
          <w:szCs w:val="28"/>
          <w:highlight w:val="none"/>
        </w:rPr>
        <w:t>5.招标文件的获取</w:t>
      </w:r>
      <w:bookmarkEnd w:id="6"/>
    </w:p>
    <w:p w14:paraId="5DA985D3">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5.1获取时间：</w:t>
      </w:r>
      <w:r>
        <w:rPr>
          <w:rFonts w:hint="eastAsia" w:cs="宋体"/>
          <w:color w:val="auto"/>
          <w:sz w:val="24"/>
          <w:szCs w:val="24"/>
          <w:highlight w:val="none"/>
          <w:u w:val="single"/>
        </w:rPr>
        <w:t>202</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年</w:t>
      </w:r>
      <w:r>
        <w:rPr>
          <w:rFonts w:hint="eastAsia" w:cs="宋体"/>
          <w:color w:val="auto"/>
          <w:sz w:val="24"/>
          <w:szCs w:val="24"/>
          <w:highlight w:val="none"/>
          <w:u w:val="single"/>
          <w:lang w:val="en-US" w:eastAsia="zh-CN"/>
        </w:rPr>
        <w:t>10</w:t>
      </w:r>
      <w:r>
        <w:rPr>
          <w:rFonts w:hint="eastAsia" w:cs="宋体"/>
          <w:color w:val="auto"/>
          <w:sz w:val="24"/>
          <w:szCs w:val="24"/>
          <w:highlight w:val="none"/>
          <w:u w:val="single"/>
        </w:rPr>
        <w:t>月</w:t>
      </w:r>
      <w:r>
        <w:rPr>
          <w:rFonts w:hint="eastAsia" w:cs="宋体"/>
          <w:color w:val="auto"/>
          <w:sz w:val="24"/>
          <w:szCs w:val="24"/>
          <w:highlight w:val="none"/>
          <w:u w:val="single"/>
          <w:lang w:val="en-US" w:eastAsia="zh-CN"/>
        </w:rPr>
        <w:t>22</w:t>
      </w:r>
      <w:r>
        <w:rPr>
          <w:rFonts w:hint="eastAsia" w:cs="宋体"/>
          <w:color w:val="auto"/>
          <w:sz w:val="24"/>
          <w:szCs w:val="24"/>
          <w:highlight w:val="none"/>
          <w:u w:val="single"/>
        </w:rPr>
        <w:t>日至202</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年</w:t>
      </w:r>
      <w:r>
        <w:rPr>
          <w:rFonts w:hint="eastAsia" w:cs="宋体"/>
          <w:color w:val="auto"/>
          <w:sz w:val="24"/>
          <w:szCs w:val="24"/>
          <w:highlight w:val="none"/>
          <w:u w:val="single"/>
          <w:lang w:val="en-US" w:eastAsia="zh-CN"/>
        </w:rPr>
        <w:t>10</w:t>
      </w:r>
      <w:r>
        <w:rPr>
          <w:rFonts w:hint="eastAsia" w:cs="宋体"/>
          <w:color w:val="auto"/>
          <w:sz w:val="24"/>
          <w:szCs w:val="24"/>
          <w:highlight w:val="none"/>
          <w:u w:val="single"/>
        </w:rPr>
        <w:t>月</w:t>
      </w:r>
      <w:r>
        <w:rPr>
          <w:rFonts w:hint="eastAsia" w:cs="宋体"/>
          <w:color w:val="auto"/>
          <w:sz w:val="24"/>
          <w:szCs w:val="24"/>
          <w:highlight w:val="none"/>
          <w:u w:val="single"/>
          <w:lang w:val="en-US" w:eastAsia="zh-CN"/>
        </w:rPr>
        <w:t>29</w:t>
      </w:r>
      <w:r>
        <w:rPr>
          <w:rFonts w:hint="eastAsia" w:cs="宋体"/>
          <w:color w:val="auto"/>
          <w:sz w:val="24"/>
          <w:szCs w:val="24"/>
          <w:highlight w:val="none"/>
          <w:u w:val="single"/>
        </w:rPr>
        <w:t>日</w:t>
      </w:r>
      <w:r>
        <w:rPr>
          <w:rFonts w:hint="eastAsia" w:cs="宋体"/>
          <w:color w:val="auto"/>
          <w:sz w:val="24"/>
          <w:szCs w:val="24"/>
          <w:highlight w:val="none"/>
        </w:rPr>
        <w:t>。</w:t>
      </w:r>
    </w:p>
    <w:p w14:paraId="030320CE">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5.2获取</w:t>
      </w:r>
      <w:r>
        <w:rPr>
          <w:rFonts w:hint="eastAsia" w:cs="宋体"/>
          <w:color w:val="auto"/>
          <w:sz w:val="24"/>
          <w:szCs w:val="24"/>
          <w:highlight w:val="none"/>
          <w:lang w:val="en-US" w:eastAsia="zh-CN"/>
        </w:rPr>
        <w:t>地点</w:t>
      </w:r>
      <w:r>
        <w:rPr>
          <w:rFonts w:hint="eastAsia" w:cs="宋体"/>
          <w:color w:val="auto"/>
          <w:sz w:val="24"/>
          <w:szCs w:val="24"/>
          <w:highlight w:val="none"/>
        </w:rPr>
        <w:t>：</w:t>
      </w:r>
      <w:r>
        <w:rPr>
          <w:rFonts w:hint="eastAsia" w:cs="宋体"/>
          <w:color w:val="auto"/>
          <w:sz w:val="24"/>
          <w:szCs w:val="24"/>
          <w:highlight w:val="none"/>
          <w:u w:val="single"/>
        </w:rPr>
        <w:t>江苏苏维工程管理有限公司三楼前台（扬州市翠岗路48号）。</w:t>
      </w:r>
    </w:p>
    <w:p w14:paraId="45AC29F2">
      <w:pPr>
        <w:keepNext w:val="0"/>
        <w:keepLines w:val="0"/>
        <w:pageBreakBefore w:val="0"/>
        <w:kinsoku/>
        <w:overflowPunct/>
        <w:topLinePunct w:val="0"/>
        <w:autoSpaceDE/>
        <w:autoSpaceDN/>
        <w:bidi w:val="0"/>
        <w:adjustRightInd w:val="0"/>
        <w:snapToGrid w:val="0"/>
        <w:spacing w:line="360" w:lineRule="auto"/>
        <w:ind w:firstLine="480" w:firstLineChars="200"/>
        <w:rPr>
          <w:color w:val="auto"/>
          <w:highlight w:val="none"/>
        </w:rPr>
      </w:pPr>
      <w:r>
        <w:rPr>
          <w:rFonts w:hint="eastAsia" w:cs="宋体"/>
          <w:color w:val="auto"/>
          <w:sz w:val="24"/>
          <w:szCs w:val="24"/>
          <w:highlight w:val="none"/>
          <w:lang w:val="en-US" w:eastAsia="zh-CN"/>
        </w:rPr>
        <w:t>5.3获取方式</w:t>
      </w:r>
      <w:r>
        <w:rPr>
          <w:rFonts w:hint="eastAsia" w:cs="宋体"/>
          <w:color w:val="auto"/>
          <w:sz w:val="24"/>
          <w:szCs w:val="24"/>
          <w:highlight w:val="none"/>
        </w:rPr>
        <w:t>：</w:t>
      </w:r>
      <w:r>
        <w:rPr>
          <w:rFonts w:hint="eastAsia" w:cs="宋体"/>
          <w:color w:val="auto"/>
          <w:sz w:val="24"/>
          <w:szCs w:val="24"/>
          <w:highlight w:val="none"/>
          <w:u w:val="single"/>
        </w:rPr>
        <w:t>请于公示期内到江苏苏维工程管理有限公司三楼前台（扬州市翠岗路48号）进行登记报名。报名时携带供应商介绍信（原件加盖公章）、供应商营业执照副本（复印件加盖公章）和授权代表身份证（复印件加盖公章，原件备查），上述材料不全或不符合要求者，报名不予受理。如供应商未按上述要求去做，将自行承担所产生的风险。</w:t>
      </w:r>
    </w:p>
    <w:p w14:paraId="7FBF42AF">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highlight w:val="none"/>
        </w:rPr>
      </w:pPr>
      <w:bookmarkStart w:id="7" w:name="_Toc398107832"/>
      <w:r>
        <w:rPr>
          <w:rFonts w:hint="eastAsia" w:ascii="宋体" w:hAnsi="宋体" w:eastAsia="宋体" w:cs="宋体"/>
          <w:b/>
          <w:bCs/>
          <w:color w:val="auto"/>
          <w:sz w:val="28"/>
          <w:szCs w:val="28"/>
          <w:highlight w:val="none"/>
        </w:rPr>
        <w:t>6.</w:t>
      </w:r>
      <w:bookmarkEnd w:id="7"/>
      <w:r>
        <w:rPr>
          <w:rFonts w:hint="eastAsia" w:ascii="宋体" w:hAnsi="宋体" w:eastAsia="宋体" w:cs="宋体"/>
          <w:b/>
          <w:bCs/>
          <w:color w:val="auto"/>
          <w:sz w:val="28"/>
          <w:szCs w:val="28"/>
          <w:highlight w:val="none"/>
        </w:rPr>
        <w:t xml:space="preserve"> 投标文件的递交</w:t>
      </w:r>
    </w:p>
    <w:p w14:paraId="21335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kern w:val="2"/>
          <w:sz w:val="24"/>
          <w:szCs w:val="24"/>
          <w:highlight w:val="none"/>
        </w:rPr>
      </w:pPr>
      <w:bookmarkStart w:id="8" w:name="_Toc398107833"/>
      <w:r>
        <w:rPr>
          <w:rFonts w:hint="eastAsia" w:cs="宋体"/>
          <w:color w:val="auto"/>
          <w:kern w:val="2"/>
          <w:sz w:val="24"/>
          <w:szCs w:val="24"/>
          <w:highlight w:val="none"/>
        </w:rPr>
        <w:t>6.1 投标文件递交的截止时间为</w:t>
      </w:r>
      <w:r>
        <w:rPr>
          <w:rFonts w:hint="eastAsia" w:cs="宋体"/>
          <w:color w:val="auto"/>
          <w:kern w:val="2"/>
          <w:sz w:val="24"/>
          <w:szCs w:val="24"/>
          <w:highlight w:val="none"/>
          <w:u w:val="single"/>
        </w:rPr>
        <w:t xml:space="preserve"> 202</w:t>
      </w:r>
      <w:r>
        <w:rPr>
          <w:rFonts w:hint="eastAsia" w:cs="宋体"/>
          <w:color w:val="auto"/>
          <w:kern w:val="2"/>
          <w:sz w:val="24"/>
          <w:szCs w:val="24"/>
          <w:highlight w:val="none"/>
          <w:u w:val="single"/>
          <w:lang w:val="en-US" w:eastAsia="zh-CN"/>
        </w:rPr>
        <w:t>5</w:t>
      </w:r>
      <w:r>
        <w:rPr>
          <w:rFonts w:hint="eastAsia" w:cs="宋体"/>
          <w:color w:val="auto"/>
          <w:kern w:val="2"/>
          <w:sz w:val="24"/>
          <w:szCs w:val="24"/>
          <w:highlight w:val="none"/>
        </w:rPr>
        <w:t>年</w:t>
      </w:r>
      <w:r>
        <w:rPr>
          <w:rFonts w:hint="eastAsia" w:cs="宋体"/>
          <w:color w:val="auto"/>
          <w:kern w:val="2"/>
          <w:sz w:val="24"/>
          <w:szCs w:val="24"/>
          <w:highlight w:val="none"/>
          <w:u w:val="single"/>
          <w:lang w:val="en-US" w:eastAsia="zh-CN"/>
        </w:rPr>
        <w:t>11</w:t>
      </w:r>
      <w:r>
        <w:rPr>
          <w:rFonts w:hint="eastAsia" w:cs="宋体"/>
          <w:color w:val="auto"/>
          <w:kern w:val="2"/>
          <w:sz w:val="24"/>
          <w:szCs w:val="24"/>
          <w:highlight w:val="none"/>
        </w:rPr>
        <w:t>月</w:t>
      </w:r>
      <w:r>
        <w:rPr>
          <w:rFonts w:hint="eastAsia" w:cs="宋体"/>
          <w:color w:val="auto"/>
          <w:kern w:val="2"/>
          <w:sz w:val="24"/>
          <w:szCs w:val="24"/>
          <w:highlight w:val="none"/>
          <w:u w:val="single"/>
          <w:lang w:val="en-US" w:eastAsia="zh-CN"/>
        </w:rPr>
        <w:t>12</w:t>
      </w:r>
      <w:r>
        <w:rPr>
          <w:rFonts w:hint="eastAsia" w:cs="宋体"/>
          <w:color w:val="auto"/>
          <w:kern w:val="2"/>
          <w:sz w:val="24"/>
          <w:szCs w:val="24"/>
          <w:highlight w:val="none"/>
        </w:rPr>
        <w:t>日</w:t>
      </w:r>
      <w:r>
        <w:rPr>
          <w:rFonts w:hint="eastAsia" w:cs="宋体"/>
          <w:color w:val="auto"/>
          <w:kern w:val="2"/>
          <w:sz w:val="24"/>
          <w:szCs w:val="24"/>
          <w:highlight w:val="none"/>
          <w:u w:val="single"/>
          <w:lang w:val="en-US" w:eastAsia="zh-CN"/>
        </w:rPr>
        <w:t>9</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时</w:t>
      </w:r>
      <w:r>
        <w:rPr>
          <w:rFonts w:hint="eastAsia" w:cs="宋体"/>
          <w:color w:val="auto"/>
          <w:kern w:val="2"/>
          <w:sz w:val="24"/>
          <w:szCs w:val="24"/>
          <w:highlight w:val="none"/>
          <w:u w:val="single"/>
          <w:lang w:val="en-US" w:eastAsia="zh-CN"/>
        </w:rPr>
        <w:t>30</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分。</w:t>
      </w:r>
    </w:p>
    <w:p w14:paraId="05941B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宋体"/>
          <w:color w:val="auto"/>
          <w:kern w:val="2"/>
          <w:sz w:val="24"/>
          <w:szCs w:val="24"/>
          <w:highlight w:val="none"/>
        </w:rPr>
      </w:pPr>
      <w:r>
        <w:rPr>
          <w:rFonts w:hint="eastAsia" w:cs="宋体"/>
          <w:color w:val="auto"/>
          <w:kern w:val="2"/>
          <w:sz w:val="24"/>
          <w:szCs w:val="24"/>
          <w:highlight w:val="none"/>
        </w:rPr>
        <w:t>6.2开标地点：江苏苏维工程管理有限公司三楼开标</w:t>
      </w:r>
      <w:r>
        <w:rPr>
          <w:rFonts w:hint="eastAsia" w:cs="宋体"/>
          <w:color w:val="auto"/>
          <w:kern w:val="2"/>
          <w:sz w:val="24"/>
          <w:szCs w:val="24"/>
          <w:highlight w:val="none"/>
          <w:lang w:val="en-US" w:eastAsia="zh-CN"/>
        </w:rPr>
        <w:t>二</w:t>
      </w:r>
      <w:r>
        <w:rPr>
          <w:rFonts w:hint="eastAsia" w:cs="宋体"/>
          <w:color w:val="auto"/>
          <w:kern w:val="2"/>
          <w:sz w:val="24"/>
          <w:szCs w:val="24"/>
          <w:highlight w:val="none"/>
        </w:rPr>
        <w:t>室（扬州市翠岗路48号）</w:t>
      </w:r>
    </w:p>
    <w:p w14:paraId="7C14B4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cs="宋体"/>
          <w:color w:val="auto"/>
          <w:kern w:val="2"/>
          <w:sz w:val="24"/>
          <w:szCs w:val="24"/>
          <w:highlight w:val="none"/>
        </w:rPr>
      </w:pPr>
      <w:r>
        <w:rPr>
          <w:rFonts w:hint="eastAsia" w:cs="宋体"/>
          <w:color w:val="auto"/>
          <w:kern w:val="2"/>
          <w:sz w:val="24"/>
          <w:szCs w:val="24"/>
          <w:highlight w:val="none"/>
          <w:lang w:val="en-US" w:eastAsia="zh-CN"/>
        </w:rPr>
        <w:t>6.3</w:t>
      </w:r>
      <w:r>
        <w:rPr>
          <w:rFonts w:hint="eastAsia" w:cs="宋体"/>
          <w:color w:val="auto"/>
          <w:kern w:val="2"/>
          <w:sz w:val="24"/>
          <w:szCs w:val="24"/>
          <w:highlight w:val="none"/>
        </w:rPr>
        <w:t xml:space="preserve"> 逾期送达的或者未送达指定地点的投标文件，招标人不予接受。</w:t>
      </w:r>
    </w:p>
    <w:p w14:paraId="6C14385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cs="宋体"/>
          <w:color w:val="auto"/>
          <w:kern w:val="2"/>
          <w:sz w:val="24"/>
          <w:szCs w:val="24"/>
          <w:highlight w:val="none"/>
        </w:rPr>
      </w:pPr>
    </w:p>
    <w:p w14:paraId="725F7187">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7.发布公告的媒介</w:t>
      </w:r>
      <w:bookmarkEnd w:id="8"/>
    </w:p>
    <w:p w14:paraId="46D1308E">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cs="宋体"/>
          <w:color w:val="auto"/>
          <w:sz w:val="24"/>
          <w:szCs w:val="24"/>
          <w:highlight w:val="none"/>
        </w:rPr>
      </w:pPr>
      <w:bookmarkStart w:id="9" w:name="_Toc398107834"/>
      <w:r>
        <w:rPr>
          <w:rFonts w:hint="eastAsia" w:ascii="宋体" w:hAnsi="宋体" w:eastAsia="宋体" w:cs="宋体"/>
          <w:color w:val="auto"/>
          <w:sz w:val="24"/>
          <w:szCs w:val="24"/>
          <w:highlight w:val="none"/>
        </w:rPr>
        <w:t>本次招标公告同步在扬州市公共资源交易平台、扬州市城建国有资产控股（集团）有限责任公司网站、扬州市政管网有限公司</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rPr>
        <w:t>上发布。</w:t>
      </w:r>
    </w:p>
    <w:p w14:paraId="11377E60">
      <w:pPr>
        <w:pStyle w:val="8"/>
        <w:keepNext w:val="0"/>
        <w:keepLines w:val="0"/>
        <w:pageBreakBefore w:val="0"/>
        <w:numPr>
          <w:ilvl w:val="1"/>
          <w:numId w:val="0"/>
        </w:numPr>
        <w:kinsoku/>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8.联系方式</w:t>
      </w:r>
      <w:bookmarkEnd w:id="9"/>
      <w:r>
        <w:rPr>
          <w:rFonts w:hint="eastAsia" w:ascii="宋体" w:hAnsi="宋体" w:eastAsia="宋体" w:cs="宋体"/>
          <w:b/>
          <w:bCs/>
          <w:color w:val="auto"/>
          <w:sz w:val="28"/>
          <w:szCs w:val="28"/>
          <w:highlight w:val="none"/>
          <w:lang w:val="en-US" w:eastAsia="zh-CN"/>
        </w:rPr>
        <w:t xml:space="preserve"> </w:t>
      </w:r>
    </w:p>
    <w:tbl>
      <w:tblPr>
        <w:tblStyle w:val="10"/>
        <w:tblW w:w="0" w:type="auto"/>
        <w:tblInd w:w="0" w:type="dxa"/>
        <w:tblLayout w:type="autofit"/>
        <w:tblCellMar>
          <w:top w:w="0" w:type="dxa"/>
          <w:left w:w="108" w:type="dxa"/>
          <w:bottom w:w="0" w:type="dxa"/>
          <w:right w:w="108" w:type="dxa"/>
        </w:tblCellMar>
      </w:tblPr>
      <w:tblGrid>
        <w:gridCol w:w="4361"/>
        <w:gridCol w:w="4161"/>
      </w:tblGrid>
      <w:tr w14:paraId="37BA3C1C">
        <w:tblPrEx>
          <w:tblCellMar>
            <w:top w:w="0" w:type="dxa"/>
            <w:left w:w="108" w:type="dxa"/>
            <w:bottom w:w="0" w:type="dxa"/>
            <w:right w:w="108" w:type="dxa"/>
          </w:tblCellMar>
        </w:tblPrEx>
        <w:tc>
          <w:tcPr>
            <w:tcW w:w="4600" w:type="dxa"/>
            <w:noWrap w:val="0"/>
            <w:vAlign w:val="top"/>
          </w:tcPr>
          <w:p w14:paraId="6878F471">
            <w:pPr>
              <w:adjustRightInd w:val="0"/>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扬州市政管网有限公司</w:t>
            </w:r>
          </w:p>
        </w:tc>
        <w:tc>
          <w:tcPr>
            <w:tcW w:w="4348" w:type="dxa"/>
            <w:noWrap w:val="0"/>
            <w:vAlign w:val="top"/>
          </w:tcPr>
          <w:p w14:paraId="23D6FA72">
            <w:pPr>
              <w:adjustRightInd w:val="0"/>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江苏苏维工程管理有限公司</w:t>
            </w:r>
          </w:p>
        </w:tc>
      </w:tr>
      <w:tr w14:paraId="64167E3E">
        <w:tblPrEx>
          <w:tblCellMar>
            <w:top w:w="0" w:type="dxa"/>
            <w:left w:w="108" w:type="dxa"/>
            <w:bottom w:w="0" w:type="dxa"/>
            <w:right w:w="108" w:type="dxa"/>
          </w:tblCellMar>
        </w:tblPrEx>
        <w:tc>
          <w:tcPr>
            <w:tcW w:w="4600" w:type="dxa"/>
            <w:noWrap w:val="0"/>
            <w:vAlign w:val="top"/>
          </w:tcPr>
          <w:p w14:paraId="04F9D921">
            <w:pPr>
              <w:adjustRightInd w:val="0"/>
              <w:snapToGrid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地址：扬州市广陵区汤汪路183号</w:t>
            </w:r>
          </w:p>
        </w:tc>
        <w:tc>
          <w:tcPr>
            <w:tcW w:w="4348" w:type="dxa"/>
            <w:noWrap w:val="0"/>
            <w:vAlign w:val="top"/>
          </w:tcPr>
          <w:p w14:paraId="23244A6D">
            <w:pPr>
              <w:adjustRightInd w:val="0"/>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扬州市翠岗路48号</w:t>
            </w:r>
          </w:p>
        </w:tc>
      </w:tr>
      <w:tr w14:paraId="3BC6824E">
        <w:tblPrEx>
          <w:tblCellMar>
            <w:top w:w="0" w:type="dxa"/>
            <w:left w:w="108" w:type="dxa"/>
            <w:bottom w:w="0" w:type="dxa"/>
            <w:right w:w="108" w:type="dxa"/>
          </w:tblCellMar>
        </w:tblPrEx>
        <w:tc>
          <w:tcPr>
            <w:tcW w:w="4600" w:type="dxa"/>
            <w:noWrap w:val="0"/>
            <w:vAlign w:val="top"/>
          </w:tcPr>
          <w:p w14:paraId="24E702FC">
            <w:pPr>
              <w:adjustRightInd w:val="0"/>
              <w:snapToGrid w:val="0"/>
              <w:spacing w:line="480" w:lineRule="exact"/>
              <w:jc w:val="left"/>
              <w:rPr>
                <w:rFonts w:ascii="宋体" w:hAnsi="宋体" w:cs="宋体"/>
                <w:color w:val="auto"/>
                <w:sz w:val="24"/>
                <w:highlight w:val="none"/>
              </w:rPr>
            </w:pPr>
            <w:r>
              <w:rPr>
                <w:rFonts w:hint="eastAsia" w:ascii="宋体" w:hAnsi="宋体" w:cs="宋体"/>
                <w:color w:val="auto"/>
                <w:sz w:val="24"/>
                <w:highlight w:val="none"/>
              </w:rPr>
              <w:t>邮编：225000</w:t>
            </w:r>
          </w:p>
        </w:tc>
        <w:tc>
          <w:tcPr>
            <w:tcW w:w="4348" w:type="dxa"/>
            <w:noWrap w:val="0"/>
            <w:vAlign w:val="top"/>
          </w:tcPr>
          <w:p w14:paraId="4CB14AF7">
            <w:pPr>
              <w:adjustRightInd w:val="0"/>
              <w:snapToGrid w:val="0"/>
              <w:spacing w:line="48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邮编：2250</w:t>
            </w:r>
            <w:r>
              <w:rPr>
                <w:rFonts w:hint="eastAsia" w:ascii="宋体" w:hAnsi="宋体" w:cs="宋体"/>
                <w:color w:val="auto"/>
                <w:sz w:val="24"/>
                <w:highlight w:val="none"/>
                <w:lang w:val="en-US" w:eastAsia="zh-CN"/>
              </w:rPr>
              <w:t>00</w:t>
            </w:r>
          </w:p>
        </w:tc>
      </w:tr>
      <w:tr w14:paraId="2DBB0298">
        <w:tblPrEx>
          <w:tblCellMar>
            <w:top w:w="0" w:type="dxa"/>
            <w:left w:w="108" w:type="dxa"/>
            <w:bottom w:w="0" w:type="dxa"/>
            <w:right w:w="108" w:type="dxa"/>
          </w:tblCellMar>
        </w:tblPrEx>
        <w:trPr>
          <w:trHeight w:val="467" w:hRule="atLeast"/>
        </w:trPr>
        <w:tc>
          <w:tcPr>
            <w:tcW w:w="4600" w:type="dxa"/>
            <w:noWrap w:val="0"/>
            <w:vAlign w:val="top"/>
          </w:tcPr>
          <w:p w14:paraId="2E7303AB">
            <w:pPr>
              <w:adjustRightInd w:val="0"/>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联系人：陈</w:t>
            </w:r>
            <w:r>
              <w:rPr>
                <w:rFonts w:hint="eastAsia" w:ascii="宋体" w:hAnsi="宋体" w:cs="宋体"/>
                <w:color w:val="auto"/>
                <w:sz w:val="24"/>
                <w:highlight w:val="none"/>
                <w:lang w:val="en-US" w:eastAsia="zh-CN"/>
              </w:rPr>
              <w:t>女士</w:t>
            </w:r>
          </w:p>
        </w:tc>
        <w:tc>
          <w:tcPr>
            <w:tcW w:w="4348" w:type="dxa"/>
            <w:noWrap w:val="0"/>
            <w:vAlign w:val="top"/>
          </w:tcPr>
          <w:p w14:paraId="32AFBFC6">
            <w:pPr>
              <w:adjustRightInd w:val="0"/>
              <w:snapToGrid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袁玲</w:t>
            </w:r>
          </w:p>
        </w:tc>
      </w:tr>
      <w:tr w14:paraId="31742D6C">
        <w:tblPrEx>
          <w:tblCellMar>
            <w:top w:w="0" w:type="dxa"/>
            <w:left w:w="108" w:type="dxa"/>
            <w:bottom w:w="0" w:type="dxa"/>
            <w:right w:w="108" w:type="dxa"/>
          </w:tblCellMar>
        </w:tblPrEx>
        <w:tc>
          <w:tcPr>
            <w:tcW w:w="4600" w:type="dxa"/>
            <w:noWrap w:val="0"/>
            <w:vAlign w:val="top"/>
          </w:tcPr>
          <w:p w14:paraId="3E5AA600">
            <w:pPr>
              <w:adjustRightInd w:val="0"/>
              <w:snapToGrid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电话：0514-87821702 </w:t>
            </w:r>
          </w:p>
        </w:tc>
        <w:tc>
          <w:tcPr>
            <w:tcW w:w="4348" w:type="dxa"/>
            <w:noWrap w:val="0"/>
            <w:vAlign w:val="top"/>
          </w:tcPr>
          <w:p w14:paraId="47F4FA9A">
            <w:pPr>
              <w:adjustRightInd w:val="0"/>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lang w:eastAsia="zh-CN"/>
              </w:rPr>
              <w:t>0514-87986785</w:t>
            </w:r>
          </w:p>
        </w:tc>
      </w:tr>
      <w:tr w14:paraId="4B7005C1">
        <w:tblPrEx>
          <w:tblCellMar>
            <w:top w:w="0" w:type="dxa"/>
            <w:left w:w="108" w:type="dxa"/>
            <w:bottom w:w="0" w:type="dxa"/>
            <w:right w:w="108" w:type="dxa"/>
          </w:tblCellMar>
        </w:tblPrEx>
        <w:tc>
          <w:tcPr>
            <w:tcW w:w="4600" w:type="dxa"/>
            <w:noWrap w:val="0"/>
            <w:vAlign w:val="top"/>
          </w:tcPr>
          <w:p w14:paraId="1CAEDD31">
            <w:pPr>
              <w:adjustRightInd w:val="0"/>
              <w:snapToGrid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传真：/</w:t>
            </w:r>
          </w:p>
        </w:tc>
        <w:tc>
          <w:tcPr>
            <w:tcW w:w="4348" w:type="dxa"/>
            <w:noWrap w:val="0"/>
            <w:vAlign w:val="top"/>
          </w:tcPr>
          <w:p w14:paraId="2EB91D96">
            <w:pPr>
              <w:adjustRightInd w:val="0"/>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w:t>
            </w:r>
          </w:p>
        </w:tc>
      </w:tr>
      <w:tr w14:paraId="3DFA8B19">
        <w:tblPrEx>
          <w:tblCellMar>
            <w:top w:w="0" w:type="dxa"/>
            <w:left w:w="108" w:type="dxa"/>
            <w:bottom w:w="0" w:type="dxa"/>
            <w:right w:w="108" w:type="dxa"/>
          </w:tblCellMar>
        </w:tblPrEx>
        <w:tc>
          <w:tcPr>
            <w:tcW w:w="4600" w:type="dxa"/>
            <w:noWrap w:val="0"/>
            <w:vAlign w:val="top"/>
          </w:tcPr>
          <w:p w14:paraId="1F11F3BA">
            <w:pPr>
              <w:adjustRightInd w:val="0"/>
              <w:snapToGrid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电子邮件：/</w:t>
            </w:r>
          </w:p>
        </w:tc>
        <w:tc>
          <w:tcPr>
            <w:tcW w:w="4348" w:type="dxa"/>
            <w:noWrap w:val="0"/>
            <w:vAlign w:val="top"/>
          </w:tcPr>
          <w:p w14:paraId="7E6693D5">
            <w:pPr>
              <w:adjustRightInd w:val="0"/>
              <w:snapToGrid w:val="0"/>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电子邮件：</w:t>
            </w:r>
            <w:r>
              <w:rPr>
                <w:rFonts w:hint="eastAsia" w:ascii="宋体" w:hAnsi="宋体" w:cs="宋体"/>
                <w:color w:val="auto"/>
                <w:sz w:val="24"/>
                <w:highlight w:val="none"/>
                <w:lang w:val="en-US" w:eastAsia="zh-CN"/>
              </w:rPr>
              <w:t>348189869@qq.com</w:t>
            </w:r>
          </w:p>
        </w:tc>
      </w:tr>
    </w:tbl>
    <w:p w14:paraId="6697C43F">
      <w:pPr>
        <w:jc w:val="right"/>
        <w:rPr>
          <w:rFonts w:hint="eastAsia" w:cs="宋体"/>
          <w:color w:val="auto"/>
          <w:sz w:val="28"/>
          <w:szCs w:val="28"/>
          <w:highlight w:val="none"/>
        </w:rPr>
      </w:pPr>
      <w:r>
        <w:rPr>
          <w:rFonts w:hint="eastAsia" w:cs="宋体"/>
          <w:color w:val="auto"/>
          <w:sz w:val="21"/>
          <w:szCs w:val="21"/>
          <w:highlight w:val="none"/>
        </w:rPr>
        <w:t xml:space="preserve"> </w:t>
      </w:r>
      <w:r>
        <w:rPr>
          <w:rFonts w:hint="eastAsia" w:cs="宋体"/>
          <w:color w:val="auto"/>
          <w:sz w:val="28"/>
          <w:szCs w:val="28"/>
          <w:highlight w:val="none"/>
        </w:rPr>
        <w:t xml:space="preserve">    </w:t>
      </w:r>
    </w:p>
    <w:p w14:paraId="619166C9">
      <w:pPr>
        <w:jc w:val="right"/>
      </w:pPr>
      <w:r>
        <w:rPr>
          <w:rFonts w:hint="eastAsia" w:cs="宋体"/>
          <w:color w:val="auto"/>
          <w:sz w:val="24"/>
          <w:szCs w:val="24"/>
          <w:highlight w:val="none"/>
          <w:u w:val="single"/>
        </w:rPr>
        <w:t>202</w:t>
      </w:r>
      <w:r>
        <w:rPr>
          <w:rFonts w:hint="eastAsia" w:cs="宋体"/>
          <w:color w:val="auto"/>
          <w:sz w:val="24"/>
          <w:szCs w:val="24"/>
          <w:highlight w:val="none"/>
          <w:u w:val="single"/>
          <w:lang w:val="en-US" w:eastAsia="zh-CN"/>
        </w:rPr>
        <w:t>5</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lang w:val="en-US" w:eastAsia="zh-CN"/>
        </w:rPr>
        <w:t>10</w:t>
      </w:r>
      <w:r>
        <w:rPr>
          <w:rFonts w:hint="eastAsia" w:cs="宋体"/>
          <w:color w:val="auto"/>
          <w:sz w:val="24"/>
          <w:szCs w:val="24"/>
          <w:highlight w:val="none"/>
        </w:rPr>
        <w:t>月</w:t>
      </w:r>
      <w:r>
        <w:rPr>
          <w:rFonts w:hint="eastAsia" w:cs="宋体"/>
          <w:color w:val="auto"/>
          <w:sz w:val="24"/>
          <w:szCs w:val="24"/>
          <w:highlight w:val="none"/>
          <w:u w:val="single"/>
          <w:lang w:val="en-US" w:eastAsia="zh-CN"/>
        </w:rPr>
        <w:t xml:space="preserve"> 22</w:t>
      </w:r>
      <w:r>
        <w:rPr>
          <w:rFonts w:hint="eastAsia" w:cs="宋体"/>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26EED"/>
    <w:multiLevelType w:val="multilevel"/>
    <w:tmpl w:val="0E626EED"/>
    <w:lvl w:ilvl="0" w:tentative="0">
      <w:start w:val="1"/>
      <w:numFmt w:val="decimal"/>
      <w:lvlText w:val="5.%1"/>
      <w:lvlJc w:val="left"/>
      <w:pPr>
        <w:tabs>
          <w:tab w:val="left" w:pos="964"/>
        </w:tabs>
        <w:ind w:left="907" w:hanging="850"/>
      </w:pPr>
      <w:rPr>
        <w:rFonts w:hint="default"/>
      </w:rPr>
    </w:lvl>
    <w:lvl w:ilvl="1" w:tentative="0">
      <w:start w:val="1"/>
      <w:numFmt w:val="decimal"/>
      <w:pStyle w:val="8"/>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E4ABD"/>
    <w:rsid w:val="793E4ABD"/>
    <w:rsid w:val="79C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36"/>
      <w:szCs w:val="36"/>
      <w:lang w:val="en-US" w:eastAsia="zh-CN" w:bidi="ar-SA"/>
    </w:rPr>
  </w:style>
  <w:style w:type="paragraph" w:styleId="8">
    <w:name w:val="heading 2"/>
    <w:basedOn w:val="1"/>
    <w:next w:val="1"/>
    <w:qFormat/>
    <w:uiPriority w:val="0"/>
    <w:pPr>
      <w:keepNext/>
      <w:keepLines/>
      <w:numPr>
        <w:ilvl w:val="1"/>
        <w:numId w:val="1"/>
      </w:numPr>
      <w:adjustRightInd w:val="0"/>
      <w:spacing w:line="360" w:lineRule="atLeast"/>
      <w:textAlignment w:val="baseline"/>
      <w:outlineLvl w:val="1"/>
    </w:pPr>
    <w:rPr>
      <w:kern w:val="2"/>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大标题"/>
    <w:basedOn w:val="4"/>
    <w:next w:val="5"/>
    <w:qFormat/>
    <w:uiPriority w:val="0"/>
    <w:pPr>
      <w:adjustRightInd w:val="0"/>
      <w:spacing w:line="360" w:lineRule="auto"/>
      <w:ind w:firstLine="200" w:firstLineChars="200"/>
    </w:pPr>
    <w:rPr>
      <w:rFonts w:ascii="宋体" w:hAnsi="宋体"/>
      <w:kern w:val="0"/>
      <w:szCs w:val="20"/>
      <w:lang w:val="en-US" w:eastAsia="zh-CN"/>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First Indent 2"/>
    <w:basedOn w:val="6"/>
    <w:next w:val="1"/>
    <w:qFormat/>
    <w:uiPriority w:val="99"/>
    <w:pPr>
      <w:tabs>
        <w:tab w:val="left" w:pos="0"/>
        <w:tab w:val="left" w:pos="993"/>
        <w:tab w:val="left" w:pos="1134"/>
      </w:tabs>
      <w:spacing w:after="120"/>
      <w:ind w:firstLine="210" w:firstLineChars="0"/>
    </w:pPr>
    <w:rPr>
      <w:szCs w:val="24"/>
    </w:rPr>
  </w:style>
  <w:style w:type="paragraph" w:styleId="6">
    <w:name w:val="Body Text Indent"/>
    <w:basedOn w:val="1"/>
    <w:next w:val="7"/>
    <w:semiHidden/>
    <w:qFormat/>
    <w:uiPriority w:val="0"/>
    <w:pPr>
      <w:ind w:firstLine="480" w:firstLineChars="200"/>
    </w:pPr>
    <w:rPr>
      <w:rFonts w:ascii="楷体_GB2312" w:eastAsia="楷体_GB2312" w:cs="楷体_GB2312"/>
      <w:sz w:val="24"/>
    </w:rPr>
  </w:style>
  <w:style w:type="paragraph" w:styleId="7">
    <w:name w:val="envelope return"/>
    <w:basedOn w:val="1"/>
    <w:qFormat/>
    <w:uiPriority w:val="0"/>
    <w:pPr>
      <w:snapToGrid w:val="0"/>
      <w:spacing w:line="360" w:lineRule="auto"/>
      <w:ind w:firstLine="200" w:firstLineChars="200"/>
    </w:pPr>
    <w:rPr>
      <w:rFonts w:ascii="Arial" w:hAnsi="Arial" w:cs="Arial"/>
      <w:sz w:val="24"/>
    </w:rPr>
  </w:style>
  <w:style w:type="paragraph" w:styleId="9">
    <w:name w:val="Normal (Web)"/>
    <w:basedOn w:val="1"/>
    <w:qFormat/>
    <w:uiPriority w:val="0"/>
    <w:pPr>
      <w:widowControl/>
      <w:spacing w:before="100" w:beforeLines="0" w:beforeAutospacing="1" w:after="100" w:afterLines="0" w:afterAutospacing="1"/>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2025-10-22T01:02:00Z</dcterms:created>
  <dc:creator>WPS_1665461955</dc:creator>
  <cp:lastModifiedBy>WPS_1665461955</cp:lastModifiedBy>
  <dcterms:modified xsi:type="dcterms:W3CDTF">2025-10-22T01:03:22Z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93481CCE67B9480590E6111AEE352158_11</vt:lpwstr>
  </property>
  <property fmtid="{D5CDD505-2E9C-101B-9397-08002B2CF9AE}" pid="4" name="KSOTemplateDocerSaveRecord">
    <vt:lpwstr>eyJoZGlkIjoiMDQ5OWZiZDI1NmRlZTRiYTI3YTFkZjFkYjAwNGE0ODUiLCJ1c2VySWQiOiIxNDI3MTIwNTU1In0=</vt:lpwstr>
  </property>
</Properties>
</file>