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0E" w:rsidRDefault="00CC55B8" w:rsidP="00CC55B8">
      <w:pPr>
        <w:jc w:val="center"/>
        <w:rPr>
          <w:rFonts w:ascii="方正小标宋简体" w:eastAsia="方正小标宋简体" w:hAnsi="宋体"/>
          <w:bCs/>
          <w:sz w:val="30"/>
          <w:szCs w:val="30"/>
        </w:rPr>
      </w:pPr>
      <w:r w:rsidRPr="00CC55B8">
        <w:rPr>
          <w:rFonts w:ascii="方正小标宋简体" w:eastAsia="方正小标宋简体" w:hAnsi="宋体" w:hint="eastAsia"/>
          <w:bCs/>
          <w:sz w:val="30"/>
          <w:szCs w:val="30"/>
        </w:rPr>
        <w:t>2022年度扬州市政管网有限公司泵站低压电气、自控维保单位招标项目招标文件</w:t>
      </w:r>
    </w:p>
    <w:p w:rsidR="00CC55B8" w:rsidRDefault="00CC55B8"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5C5185">
        <w:rPr>
          <w:rFonts w:asciiTheme="minorEastAsia" w:hAnsiTheme="minorEastAsia" w:hint="eastAsia"/>
          <w:sz w:val="24"/>
          <w:szCs w:val="24"/>
        </w:rPr>
        <w:t>根据我公司设备精细化管理需要，为进一步加强泵站</w:t>
      </w:r>
      <w:r>
        <w:rPr>
          <w:rFonts w:asciiTheme="minorEastAsia" w:hAnsiTheme="minorEastAsia" w:hint="eastAsia"/>
          <w:sz w:val="24"/>
          <w:szCs w:val="24"/>
        </w:rPr>
        <w:t>低压配电及自动控制系统的</w:t>
      </w:r>
      <w:r w:rsidRPr="005C5185">
        <w:rPr>
          <w:rFonts w:asciiTheme="minorEastAsia" w:hAnsiTheme="minorEastAsia" w:hint="eastAsia"/>
          <w:sz w:val="24"/>
          <w:szCs w:val="24"/>
        </w:rPr>
        <w:t>运行、保养和维修的规范管理，</w:t>
      </w:r>
      <w:r>
        <w:rPr>
          <w:rFonts w:asciiTheme="minorEastAsia" w:hAnsiTheme="minorEastAsia" w:hint="eastAsia"/>
          <w:sz w:val="24"/>
          <w:szCs w:val="24"/>
        </w:rPr>
        <w:t>现对2022年度泵站低压电气、自控维保单位进行公开招投标工作，</w:t>
      </w:r>
      <w:r w:rsidRPr="005C5185">
        <w:rPr>
          <w:rFonts w:asciiTheme="minorEastAsia" w:hAnsiTheme="minorEastAsia" w:hint="eastAsia"/>
          <w:sz w:val="24"/>
          <w:szCs w:val="24"/>
        </w:rPr>
        <w:t>具体内容如下：</w:t>
      </w:r>
    </w:p>
    <w:p w:rsidR="00CC55B8" w:rsidRDefault="00CC55B8" w:rsidP="00F7781E">
      <w:pPr>
        <w:spacing w:line="360" w:lineRule="auto"/>
        <w:rPr>
          <w:rFonts w:asciiTheme="minorEastAsia" w:hAnsiTheme="minorEastAsia"/>
          <w:sz w:val="24"/>
          <w:szCs w:val="24"/>
        </w:rPr>
      </w:pPr>
      <w:r>
        <w:rPr>
          <w:rFonts w:asciiTheme="minorEastAsia" w:hAnsiTheme="minorEastAsia" w:hint="eastAsia"/>
          <w:sz w:val="24"/>
          <w:szCs w:val="24"/>
        </w:rPr>
        <w:t>一、项目概况</w:t>
      </w:r>
    </w:p>
    <w:p w:rsidR="00CC55B8" w:rsidRPr="00F7781E" w:rsidRDefault="00F7781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C55B8" w:rsidRPr="00F7781E">
        <w:rPr>
          <w:rFonts w:asciiTheme="minorEastAsia" w:hAnsiTheme="minorEastAsia" w:hint="eastAsia"/>
          <w:sz w:val="24"/>
          <w:szCs w:val="24"/>
        </w:rPr>
        <w:t>1.项目名称：2022年度扬州市政管网有限公司泵站低压电气、自控维保项目</w:t>
      </w:r>
    </w:p>
    <w:p w:rsidR="00CC55B8" w:rsidRPr="00F7781E" w:rsidRDefault="00F7781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C55B8" w:rsidRPr="00F7781E">
        <w:rPr>
          <w:rFonts w:asciiTheme="minorEastAsia" w:hAnsiTheme="minorEastAsia" w:hint="eastAsia"/>
          <w:sz w:val="24"/>
          <w:szCs w:val="24"/>
        </w:rPr>
        <w:t>2.最高限价: 9.8万元</w:t>
      </w:r>
    </w:p>
    <w:p w:rsidR="00CC55B8" w:rsidRPr="00F7781E" w:rsidRDefault="00F7781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C55B8" w:rsidRPr="00F7781E">
        <w:rPr>
          <w:rFonts w:asciiTheme="minorEastAsia" w:hAnsiTheme="minorEastAsia" w:hint="eastAsia"/>
          <w:sz w:val="24"/>
          <w:szCs w:val="24"/>
        </w:rPr>
        <w:t>3.采购需求：</w:t>
      </w:r>
    </w:p>
    <w:p w:rsidR="00575CA0" w:rsidRPr="00F7781E" w:rsidRDefault="001115D7"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C55B8" w:rsidRPr="00F7781E">
        <w:rPr>
          <w:rFonts w:asciiTheme="minorEastAsia" w:hAnsiTheme="minorEastAsia" w:hint="eastAsia"/>
          <w:sz w:val="24"/>
          <w:szCs w:val="24"/>
        </w:rPr>
        <w:t>对招标人所属区域54座泵站、10座一体化泵站、沿河截污泵站和提升井（包括招标人后期建设或管养的泵站和设施）的</w:t>
      </w:r>
      <w:r w:rsidR="00727E19" w:rsidRPr="00F7781E">
        <w:rPr>
          <w:rFonts w:asciiTheme="minorEastAsia" w:hAnsiTheme="minorEastAsia" w:hint="eastAsia"/>
          <w:sz w:val="24"/>
          <w:szCs w:val="24"/>
        </w:rPr>
        <w:t>低压电气、自控（包括</w:t>
      </w:r>
      <w:r w:rsidR="005F2422" w:rsidRPr="00F7781E">
        <w:rPr>
          <w:rFonts w:asciiTheme="minorEastAsia" w:hAnsiTheme="minorEastAsia" w:hint="eastAsia"/>
          <w:sz w:val="24"/>
          <w:szCs w:val="24"/>
        </w:rPr>
        <w:t>低压进线柜、馈电柜、电容柜、水泵控制柜、PLC柜等，还包括就地控制箱、转接箱等</w:t>
      </w:r>
      <w:r w:rsidR="00727E19" w:rsidRPr="00F7781E">
        <w:rPr>
          <w:rFonts w:asciiTheme="minorEastAsia" w:hAnsiTheme="minorEastAsia" w:hint="eastAsia"/>
          <w:sz w:val="24"/>
          <w:szCs w:val="24"/>
        </w:rPr>
        <w:t>）进行</w:t>
      </w:r>
      <w:r w:rsidR="00CC55B8" w:rsidRPr="00F7781E">
        <w:rPr>
          <w:rFonts w:asciiTheme="minorEastAsia" w:hAnsiTheme="minorEastAsia" w:hint="eastAsia"/>
          <w:sz w:val="24"/>
          <w:szCs w:val="24"/>
        </w:rPr>
        <w:t>保养、维修；</w:t>
      </w:r>
    </w:p>
    <w:p w:rsidR="00CC55B8" w:rsidRPr="00F7781E" w:rsidRDefault="00F7781E" w:rsidP="00575CA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586156">
        <w:rPr>
          <w:rFonts w:asciiTheme="minorEastAsia" w:hAnsiTheme="minorEastAsia" w:hint="eastAsia"/>
          <w:sz w:val="24"/>
          <w:szCs w:val="24"/>
        </w:rPr>
        <w:t xml:space="preserve"> 4.</w:t>
      </w:r>
      <w:r w:rsidR="00575CA0" w:rsidRPr="00F7781E">
        <w:rPr>
          <w:rFonts w:asciiTheme="minorEastAsia" w:hAnsiTheme="minorEastAsia" w:hint="eastAsia"/>
          <w:sz w:val="24"/>
          <w:szCs w:val="24"/>
        </w:rPr>
        <w:t>服务时间：2022年度</w:t>
      </w:r>
    </w:p>
    <w:p w:rsidR="00F4248A" w:rsidRPr="00F7781E" w:rsidRDefault="00F4248A" w:rsidP="00F7781E">
      <w:pPr>
        <w:spacing w:line="360" w:lineRule="auto"/>
        <w:rPr>
          <w:rFonts w:asciiTheme="minorEastAsia" w:hAnsiTheme="minorEastAsia"/>
          <w:sz w:val="24"/>
          <w:szCs w:val="24"/>
        </w:rPr>
      </w:pPr>
      <w:r>
        <w:rPr>
          <w:rFonts w:asciiTheme="minorEastAsia" w:hAnsiTheme="minorEastAsia" w:hint="eastAsia"/>
          <w:sz w:val="24"/>
          <w:szCs w:val="24"/>
        </w:rPr>
        <w:t>二、</w:t>
      </w:r>
      <w:r w:rsidR="00F7781E">
        <w:rPr>
          <w:rFonts w:asciiTheme="minorEastAsia" w:hAnsiTheme="minorEastAsia" w:hint="eastAsia"/>
          <w:sz w:val="24"/>
          <w:szCs w:val="24"/>
        </w:rPr>
        <w:t>投标文件应提交资料</w:t>
      </w:r>
      <w:r w:rsidRPr="00F4248A">
        <w:rPr>
          <w:rFonts w:asciiTheme="minorEastAsia" w:hAnsiTheme="minorEastAsia" w:hint="eastAsia"/>
          <w:sz w:val="24"/>
          <w:szCs w:val="24"/>
        </w:rPr>
        <w:t>：</w:t>
      </w:r>
    </w:p>
    <w:p w:rsidR="00F4248A"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4248A" w:rsidRPr="00F7781E">
        <w:rPr>
          <w:rFonts w:asciiTheme="minorEastAsia" w:hAnsiTheme="minorEastAsia" w:hint="eastAsia"/>
          <w:sz w:val="24"/>
          <w:szCs w:val="24"/>
        </w:rPr>
        <w:t>（1）投标函(原件)</w:t>
      </w:r>
    </w:p>
    <w:p w:rsidR="00F4248A"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4248A" w:rsidRPr="00F7781E">
        <w:rPr>
          <w:rFonts w:asciiTheme="minorEastAsia" w:hAnsiTheme="minorEastAsia" w:hint="eastAsia"/>
          <w:sz w:val="24"/>
          <w:szCs w:val="24"/>
        </w:rPr>
        <w:t>（2）若法定代表人参加投标的，须提供本人身份证复印件；若授权代表参加的，须提供《法人授权书》原件和授权代表身份证复印件</w:t>
      </w:r>
    </w:p>
    <w:p w:rsidR="00F4248A"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4248A" w:rsidRPr="00F7781E">
        <w:rPr>
          <w:rFonts w:asciiTheme="minorEastAsia" w:hAnsiTheme="minorEastAsia" w:hint="eastAsia"/>
          <w:sz w:val="24"/>
          <w:szCs w:val="24"/>
        </w:rPr>
        <w:t>（3）营业执照副本(复印件加盖投标人公章)</w:t>
      </w:r>
      <w:r w:rsidR="00F14FA5">
        <w:rPr>
          <w:rFonts w:asciiTheme="minorEastAsia" w:hAnsiTheme="minorEastAsia" w:hint="eastAsia"/>
          <w:sz w:val="24"/>
          <w:szCs w:val="24"/>
        </w:rPr>
        <w:t>（营业范围包含低压电气或自动化设备维护）</w:t>
      </w:r>
    </w:p>
    <w:p w:rsidR="00F4248A"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4248A" w:rsidRPr="00F7781E">
        <w:rPr>
          <w:rFonts w:asciiTheme="minorEastAsia" w:hAnsiTheme="minorEastAsia" w:hint="eastAsia"/>
          <w:sz w:val="24"/>
          <w:szCs w:val="24"/>
        </w:rPr>
        <w:t>（4）依法缴纳职工社会保障资金的证明材料(复印件加盖服务单位公章)(税务、银行或社会保险基金管理部门出具的2021年任意连续三个月缴纳职工社会保障资金的缴款凭证或缴款证明复印件)</w:t>
      </w:r>
    </w:p>
    <w:p w:rsidR="00F4248A"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4248A" w:rsidRPr="00F7781E">
        <w:rPr>
          <w:rFonts w:asciiTheme="minorEastAsia" w:hAnsiTheme="minorEastAsia" w:hint="eastAsia"/>
          <w:sz w:val="24"/>
          <w:szCs w:val="24"/>
        </w:rPr>
        <w:t>（5）服务单位2021年任意连续三个月依法纳税的缴款凭证(复印件加盖服务单位公章)</w:t>
      </w:r>
    </w:p>
    <w:p w:rsidR="0011259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4248A" w:rsidRPr="00F7781E">
        <w:rPr>
          <w:rFonts w:asciiTheme="minorEastAsia" w:hAnsiTheme="minorEastAsia" w:hint="eastAsia"/>
          <w:sz w:val="24"/>
          <w:szCs w:val="24"/>
        </w:rPr>
        <w:t>（6）投标人政府采购活动前3年内在经营活动中没有重大违法记录的书面声明（原件）</w:t>
      </w:r>
    </w:p>
    <w:p w:rsidR="00727E19" w:rsidRPr="005C5185" w:rsidRDefault="00727E19" w:rsidP="00F7781E">
      <w:pPr>
        <w:spacing w:line="360" w:lineRule="auto"/>
        <w:rPr>
          <w:rFonts w:asciiTheme="minorEastAsia" w:hAnsiTheme="minorEastAsia"/>
          <w:sz w:val="24"/>
          <w:szCs w:val="24"/>
        </w:rPr>
      </w:pPr>
      <w:r w:rsidRPr="005C5185">
        <w:rPr>
          <w:rFonts w:asciiTheme="minorEastAsia" w:hAnsiTheme="minorEastAsia" w:hint="eastAsia"/>
          <w:sz w:val="24"/>
          <w:szCs w:val="24"/>
        </w:rPr>
        <w:t>三.</w:t>
      </w:r>
      <w:r w:rsidR="005F2422">
        <w:rPr>
          <w:rFonts w:asciiTheme="minorEastAsia" w:hAnsiTheme="minorEastAsia" w:hint="eastAsia"/>
          <w:sz w:val="24"/>
          <w:szCs w:val="24"/>
        </w:rPr>
        <w:t>相关</w:t>
      </w:r>
      <w:r>
        <w:rPr>
          <w:rFonts w:asciiTheme="minorEastAsia" w:hAnsiTheme="minorEastAsia" w:hint="eastAsia"/>
          <w:sz w:val="24"/>
          <w:szCs w:val="24"/>
        </w:rPr>
        <w:t>要求</w:t>
      </w:r>
      <w:r w:rsidRPr="005C5185">
        <w:rPr>
          <w:rFonts w:asciiTheme="minorEastAsia" w:hAnsiTheme="minorEastAsia" w:hint="eastAsia"/>
          <w:sz w:val="24"/>
          <w:szCs w:val="24"/>
        </w:rPr>
        <w:t>：</w:t>
      </w:r>
    </w:p>
    <w:p w:rsidR="009A02A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1.</w:t>
      </w:r>
      <w:r w:rsidR="009A02AE">
        <w:rPr>
          <w:rFonts w:asciiTheme="minorEastAsia" w:hAnsiTheme="minorEastAsia" w:hint="eastAsia"/>
          <w:sz w:val="24"/>
          <w:szCs w:val="24"/>
        </w:rPr>
        <w:t>维保要求：</w:t>
      </w:r>
    </w:p>
    <w:p w:rsidR="009A02AE" w:rsidRDefault="009A02AE" w:rsidP="00F7781E">
      <w:pPr>
        <w:spacing w:line="360" w:lineRule="auto"/>
        <w:rPr>
          <w:rFonts w:asciiTheme="minorEastAsia" w:hAnsiTheme="minorEastAsia"/>
          <w:sz w:val="24"/>
          <w:szCs w:val="24"/>
        </w:rPr>
      </w:pPr>
      <w:r>
        <w:rPr>
          <w:rFonts w:asciiTheme="minorEastAsia" w:hAnsiTheme="minorEastAsia" w:hint="eastAsia"/>
          <w:sz w:val="24"/>
          <w:szCs w:val="24"/>
        </w:rPr>
        <w:lastRenderedPageBreak/>
        <w:t>（一）常规保养常规保养</w:t>
      </w:r>
      <w:r w:rsidRPr="00F7781E">
        <w:rPr>
          <w:rFonts w:asciiTheme="minorEastAsia" w:hAnsiTheme="minorEastAsia" w:hint="eastAsia"/>
          <w:sz w:val="24"/>
          <w:szCs w:val="24"/>
        </w:rPr>
        <w:t>要求</w:t>
      </w:r>
      <w:r>
        <w:rPr>
          <w:rFonts w:asciiTheme="minorEastAsia" w:hAnsiTheme="minorEastAsia" w:hint="eastAsia"/>
          <w:sz w:val="24"/>
          <w:szCs w:val="24"/>
        </w:rPr>
        <w:t>一年两次，详细内容如下：</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w:t>
      </w:r>
      <w:r w:rsidR="00727E19" w:rsidRPr="00F7781E">
        <w:rPr>
          <w:rFonts w:asciiTheme="minorEastAsia" w:hAnsiTheme="minorEastAsia" w:hint="eastAsia"/>
          <w:sz w:val="24"/>
          <w:szCs w:val="24"/>
        </w:rPr>
        <w:t>检查配电柜上所有操作把手、按钮、按键位置与实际情况是否相符，固定是否牢固，操作是否灵活；</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w:t>
      </w:r>
      <w:r w:rsidR="00727E19" w:rsidRPr="00F7781E">
        <w:rPr>
          <w:rFonts w:asciiTheme="minorEastAsia" w:hAnsiTheme="minorEastAsia" w:hint="eastAsia"/>
          <w:sz w:val="24"/>
          <w:szCs w:val="24"/>
        </w:rPr>
        <w:t>检查配电柜仪表或表盘玻璃是否松动，电压、电流指示是否正常；</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（3）</w:t>
      </w:r>
      <w:r w:rsidR="00727E19" w:rsidRPr="00F7781E">
        <w:rPr>
          <w:rFonts w:asciiTheme="minorEastAsia" w:hAnsiTheme="minorEastAsia" w:hint="eastAsia"/>
          <w:sz w:val="24"/>
          <w:szCs w:val="24"/>
        </w:rPr>
        <w:t>检查配电柜上合断信号指示及其他信号指示是否正确，红灯表示开关处于合闸状态，绿灯处于断开位置；</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（4）</w:t>
      </w:r>
      <w:r w:rsidR="00727E19" w:rsidRPr="00F7781E">
        <w:rPr>
          <w:rFonts w:asciiTheme="minorEastAsia" w:hAnsiTheme="minorEastAsia" w:hint="eastAsia"/>
          <w:sz w:val="24"/>
          <w:szCs w:val="24"/>
        </w:rPr>
        <w:t>检查配电柜内开关，熔断器是否牢固，有无过热现象；</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（5）</w:t>
      </w:r>
      <w:r w:rsidR="00727E19" w:rsidRPr="00F7781E">
        <w:rPr>
          <w:rFonts w:asciiTheme="minorEastAsia" w:hAnsiTheme="minorEastAsia" w:hint="eastAsia"/>
          <w:sz w:val="24"/>
          <w:szCs w:val="24"/>
        </w:rPr>
        <w:t>检查接线柱，母排接头是否紧固，有无腐蚀过热现象；</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（6）</w:t>
      </w:r>
      <w:r w:rsidR="00727E19" w:rsidRPr="00F7781E">
        <w:rPr>
          <w:rFonts w:asciiTheme="minorEastAsia" w:hAnsiTheme="minorEastAsia" w:hint="eastAsia"/>
          <w:sz w:val="24"/>
          <w:szCs w:val="24"/>
        </w:rPr>
        <w:t>检查母排油漆或热缩管是否齐全，相位标志是否正确明显；</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（7）</w:t>
      </w:r>
      <w:r w:rsidR="00727E19" w:rsidRPr="00F7781E">
        <w:rPr>
          <w:rFonts w:asciiTheme="minorEastAsia" w:hAnsiTheme="minorEastAsia" w:hint="eastAsia"/>
          <w:sz w:val="24"/>
          <w:szCs w:val="24"/>
        </w:rPr>
        <w:t>检查各保护装置是否齐全、可靠，整定值是否符合要求；</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（8）</w:t>
      </w:r>
      <w:r w:rsidR="00727E19" w:rsidRPr="00F7781E">
        <w:rPr>
          <w:rFonts w:asciiTheme="minorEastAsia" w:hAnsiTheme="minorEastAsia" w:hint="eastAsia"/>
          <w:sz w:val="24"/>
          <w:szCs w:val="24"/>
        </w:rPr>
        <w:t>检查线缆绝缘，是否有破损；</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（9）</w:t>
      </w:r>
      <w:r w:rsidR="00727E19" w:rsidRPr="00F7781E">
        <w:rPr>
          <w:rFonts w:asciiTheme="minorEastAsia" w:hAnsiTheme="minorEastAsia" w:hint="eastAsia"/>
          <w:sz w:val="24"/>
          <w:szCs w:val="24"/>
        </w:rPr>
        <w:t>检查二次电路整齐牢固，电流互感器二次侧接地良好，柜壳接地是否良好；</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（10）</w:t>
      </w:r>
      <w:r w:rsidR="00727E19" w:rsidRPr="00F7781E">
        <w:rPr>
          <w:rFonts w:asciiTheme="minorEastAsia" w:hAnsiTheme="minorEastAsia" w:hint="eastAsia"/>
          <w:sz w:val="24"/>
          <w:szCs w:val="24"/>
        </w:rPr>
        <w:t>检查电容柜补偿是否正常，电容器是否有损坏，补偿器是否正常，仪表信号指示是否正确，控制线路是否正常，熔断器接触器是否有损坏；</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（11）</w:t>
      </w:r>
      <w:r w:rsidR="00727E19" w:rsidRPr="00F7781E">
        <w:rPr>
          <w:rFonts w:asciiTheme="minorEastAsia" w:hAnsiTheme="minorEastAsia" w:hint="eastAsia"/>
          <w:sz w:val="24"/>
          <w:szCs w:val="24"/>
        </w:rPr>
        <w:t>检查引出线是否整齐可靠；</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（12）</w:t>
      </w:r>
      <w:r w:rsidR="00727E19" w:rsidRPr="00F7781E">
        <w:rPr>
          <w:rFonts w:asciiTheme="minorEastAsia" w:hAnsiTheme="minorEastAsia" w:hint="eastAsia"/>
          <w:sz w:val="24"/>
          <w:szCs w:val="24"/>
        </w:rPr>
        <w:t>检查配电柜周围环境是否整洁清爽；</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（13）</w:t>
      </w:r>
      <w:r w:rsidR="00727E19" w:rsidRPr="00F7781E">
        <w:rPr>
          <w:rFonts w:asciiTheme="minorEastAsia" w:hAnsiTheme="minorEastAsia" w:hint="eastAsia"/>
          <w:sz w:val="24"/>
          <w:szCs w:val="24"/>
        </w:rPr>
        <w:t>检查柜上指令电器、指示电器是否完好，仪表无异常；</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（14）</w:t>
      </w:r>
      <w:r w:rsidR="00727E19" w:rsidRPr="00F7781E">
        <w:rPr>
          <w:rFonts w:asciiTheme="minorEastAsia" w:hAnsiTheme="minorEastAsia" w:hint="eastAsia"/>
          <w:sz w:val="24"/>
          <w:szCs w:val="24"/>
        </w:rPr>
        <w:t>标识清晰，外观整洁柜门锁装置完好，电柜散热良好；</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（15）</w:t>
      </w:r>
      <w:r w:rsidR="00727E19" w:rsidRPr="00F7781E">
        <w:rPr>
          <w:rFonts w:asciiTheme="minorEastAsia" w:hAnsiTheme="minorEastAsia" w:hint="eastAsia"/>
          <w:sz w:val="24"/>
          <w:szCs w:val="24"/>
        </w:rPr>
        <w:t>柜内（含电气元件）保持洁净，接头连接无变色；</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（16）</w:t>
      </w:r>
      <w:r w:rsidR="00727E19" w:rsidRPr="00F7781E">
        <w:rPr>
          <w:rFonts w:asciiTheme="minorEastAsia" w:hAnsiTheme="minorEastAsia" w:hint="eastAsia"/>
          <w:sz w:val="24"/>
          <w:szCs w:val="24"/>
        </w:rPr>
        <w:t>电缆氧化无破损，线路整洁进出线孔密封良好，接地良好；</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（17）</w:t>
      </w:r>
      <w:r w:rsidR="00727E19" w:rsidRPr="00F7781E">
        <w:rPr>
          <w:rFonts w:asciiTheme="minorEastAsia" w:hAnsiTheme="minorEastAsia" w:hint="eastAsia"/>
          <w:sz w:val="24"/>
          <w:szCs w:val="24"/>
        </w:rPr>
        <w:t>柜内接触器、继电器、断路器、保护器等动作是否正常，仪表及保护器件整定值是否合理，检查整定值与电机额定电流是否匹配；</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（18）</w:t>
      </w:r>
      <w:r w:rsidR="00727E19" w:rsidRPr="00F7781E">
        <w:rPr>
          <w:rFonts w:asciiTheme="minorEastAsia" w:hAnsiTheme="minorEastAsia" w:hint="eastAsia"/>
          <w:sz w:val="24"/>
          <w:szCs w:val="24"/>
        </w:rPr>
        <w:t>变频器、软启动器冷却风扇运行是否异常，</w:t>
      </w:r>
      <w:r w:rsidR="005F2422" w:rsidRPr="00F7781E">
        <w:rPr>
          <w:rFonts w:asciiTheme="minorEastAsia" w:hAnsiTheme="minorEastAsia" w:hint="eastAsia"/>
          <w:sz w:val="24"/>
          <w:szCs w:val="24"/>
        </w:rPr>
        <w:t>保持</w:t>
      </w:r>
      <w:r w:rsidR="00727E19" w:rsidRPr="00F7781E">
        <w:rPr>
          <w:rFonts w:asciiTheme="minorEastAsia" w:hAnsiTheme="minorEastAsia" w:hint="eastAsia"/>
          <w:sz w:val="24"/>
          <w:szCs w:val="24"/>
        </w:rPr>
        <w:t>散热风扇无堵塞无灰尘；</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（19）</w:t>
      </w:r>
      <w:r w:rsidR="00727E19" w:rsidRPr="00F7781E">
        <w:rPr>
          <w:rFonts w:asciiTheme="minorEastAsia" w:hAnsiTheme="minorEastAsia" w:hint="eastAsia"/>
          <w:sz w:val="24"/>
          <w:szCs w:val="24"/>
        </w:rPr>
        <w:t>接线桩头有无过热烧损现象，各部分元件有无放电过热烧灼现象，检查各部件有无异味异响；</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（20）</w:t>
      </w:r>
      <w:r w:rsidR="00727E19" w:rsidRPr="00F7781E">
        <w:rPr>
          <w:rFonts w:asciiTheme="minorEastAsia" w:hAnsiTheme="minorEastAsia" w:hint="eastAsia"/>
          <w:sz w:val="24"/>
          <w:szCs w:val="24"/>
        </w:rPr>
        <w:t>检查防护罩或盖板有无破损，卫生良好，走线规范，电线无裸露，防护良好，无脱落；</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（21）</w:t>
      </w:r>
      <w:r w:rsidR="00727E19" w:rsidRPr="00F7781E">
        <w:rPr>
          <w:rFonts w:asciiTheme="minorEastAsia" w:hAnsiTheme="minorEastAsia" w:hint="eastAsia"/>
          <w:sz w:val="24"/>
          <w:szCs w:val="24"/>
        </w:rPr>
        <w:t>plc运行指示灯是否正常，输入输出连接是否良好；</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（22）</w:t>
      </w:r>
      <w:r w:rsidR="00727E19" w:rsidRPr="00F7781E">
        <w:rPr>
          <w:rFonts w:asciiTheme="minorEastAsia" w:hAnsiTheme="minorEastAsia" w:hint="eastAsia"/>
          <w:sz w:val="24"/>
          <w:szCs w:val="24"/>
        </w:rPr>
        <w:t>触摸屏要求清洁，触摸屏切换画面是否灵敏；</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lastRenderedPageBreak/>
        <w:t>（23）</w:t>
      </w:r>
      <w:r w:rsidR="00727E19" w:rsidRPr="00F7781E">
        <w:rPr>
          <w:rFonts w:asciiTheme="minorEastAsia" w:hAnsiTheme="minorEastAsia" w:hint="eastAsia"/>
          <w:sz w:val="24"/>
          <w:szCs w:val="24"/>
        </w:rPr>
        <w:t>标识清晰，外观整洁柜门锁装置完好，电柜散热良好；</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（24）</w:t>
      </w:r>
      <w:r w:rsidR="00727E19" w:rsidRPr="00F7781E">
        <w:rPr>
          <w:rFonts w:asciiTheme="minorEastAsia" w:hAnsiTheme="minorEastAsia" w:hint="eastAsia"/>
          <w:sz w:val="24"/>
          <w:szCs w:val="24"/>
        </w:rPr>
        <w:t>UPS电源充电是否正常，输出电压是否合格；</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（25）</w:t>
      </w:r>
      <w:r w:rsidR="00727E19" w:rsidRPr="00F7781E">
        <w:rPr>
          <w:rFonts w:asciiTheme="minorEastAsia" w:hAnsiTheme="minorEastAsia" w:hint="eastAsia"/>
          <w:sz w:val="24"/>
          <w:szCs w:val="24"/>
        </w:rPr>
        <w:t>就地报警是否正常；</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（26）</w:t>
      </w:r>
      <w:r w:rsidR="00727E19" w:rsidRPr="00F7781E">
        <w:rPr>
          <w:rFonts w:asciiTheme="minorEastAsia" w:hAnsiTheme="minorEastAsia" w:hint="eastAsia"/>
          <w:sz w:val="24"/>
          <w:szCs w:val="24"/>
        </w:rPr>
        <w:t>LED照明灯是否有不能点亮；</w:t>
      </w:r>
    </w:p>
    <w:p w:rsidR="00727E19"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（27）</w:t>
      </w:r>
      <w:r w:rsidR="00727E19" w:rsidRPr="00F7781E">
        <w:rPr>
          <w:rFonts w:asciiTheme="minorEastAsia" w:hAnsiTheme="minorEastAsia" w:hint="eastAsia"/>
          <w:sz w:val="24"/>
          <w:szCs w:val="24"/>
        </w:rPr>
        <w:t>门禁锁门是否正常。</w:t>
      </w:r>
    </w:p>
    <w:p w:rsidR="002B0FDC" w:rsidRDefault="009A02AE" w:rsidP="00F7781E">
      <w:pPr>
        <w:spacing w:line="360" w:lineRule="auto"/>
        <w:rPr>
          <w:rFonts w:asciiTheme="minorEastAsia" w:hAnsiTheme="minorEastAsia"/>
          <w:sz w:val="24"/>
          <w:szCs w:val="24"/>
        </w:rPr>
      </w:pPr>
      <w:r>
        <w:rPr>
          <w:rFonts w:asciiTheme="minorEastAsia" w:hAnsiTheme="minorEastAsia" w:hint="eastAsia"/>
          <w:sz w:val="24"/>
          <w:szCs w:val="24"/>
        </w:rPr>
        <w:t>（二）</w:t>
      </w:r>
      <w:r w:rsidR="002B0FDC" w:rsidRPr="00F7781E">
        <w:rPr>
          <w:rFonts w:asciiTheme="minorEastAsia" w:hAnsiTheme="minorEastAsia" w:hint="eastAsia"/>
          <w:sz w:val="24"/>
          <w:szCs w:val="24"/>
        </w:rPr>
        <w:t>维修要求</w:t>
      </w:r>
      <w:r>
        <w:rPr>
          <w:rFonts w:asciiTheme="minorEastAsia" w:hAnsiTheme="minorEastAsia" w:hint="eastAsia"/>
          <w:sz w:val="24"/>
          <w:szCs w:val="24"/>
        </w:rPr>
        <w:t>随叫随到，</w:t>
      </w:r>
      <w:r w:rsidR="002B0FDC">
        <w:rPr>
          <w:rFonts w:asciiTheme="minorEastAsia" w:hAnsiTheme="minorEastAsia" w:hint="eastAsia"/>
          <w:sz w:val="24"/>
          <w:szCs w:val="24"/>
        </w:rPr>
        <w:t>根据招标人需求</w:t>
      </w:r>
      <w:r w:rsidR="002B0FDC" w:rsidRPr="00F7781E">
        <w:rPr>
          <w:rFonts w:asciiTheme="minorEastAsia" w:hAnsiTheme="minorEastAsia" w:hint="eastAsia"/>
          <w:sz w:val="24"/>
          <w:szCs w:val="24"/>
        </w:rPr>
        <w:t>接到通知后2小时内到达现场</w:t>
      </w:r>
      <w:r w:rsidR="002B0FDC">
        <w:rPr>
          <w:rFonts w:asciiTheme="minorEastAsia" w:hAnsiTheme="minorEastAsia" w:hint="eastAsia"/>
          <w:sz w:val="24"/>
          <w:szCs w:val="24"/>
        </w:rPr>
        <w:t>进行维修作业。</w:t>
      </w:r>
    </w:p>
    <w:p w:rsidR="00727E19" w:rsidRPr="00F7781E" w:rsidRDefault="002B0FDC"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A02AE">
        <w:rPr>
          <w:rFonts w:asciiTheme="minorEastAsia" w:hAnsiTheme="minorEastAsia" w:hint="eastAsia"/>
          <w:sz w:val="24"/>
          <w:szCs w:val="24"/>
        </w:rPr>
        <w:t>2</w:t>
      </w:r>
      <w:r w:rsidR="00B64F6E">
        <w:rPr>
          <w:rFonts w:asciiTheme="minorEastAsia" w:hAnsiTheme="minorEastAsia" w:hint="eastAsia"/>
          <w:sz w:val="24"/>
          <w:szCs w:val="24"/>
        </w:rPr>
        <w:t>.</w:t>
      </w:r>
      <w:r>
        <w:rPr>
          <w:rFonts w:asciiTheme="minorEastAsia" w:hAnsiTheme="minorEastAsia" w:hint="eastAsia"/>
          <w:sz w:val="24"/>
          <w:szCs w:val="24"/>
        </w:rPr>
        <w:t>其他</w:t>
      </w:r>
      <w:r w:rsidR="00727E19" w:rsidRPr="00F7781E">
        <w:rPr>
          <w:rFonts w:asciiTheme="minorEastAsia" w:hAnsiTheme="minorEastAsia" w:hint="eastAsia"/>
          <w:sz w:val="24"/>
          <w:szCs w:val="24"/>
        </w:rPr>
        <w:t>要求：</w:t>
      </w:r>
    </w:p>
    <w:p w:rsidR="00727E19"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（1）</w:t>
      </w:r>
      <w:r w:rsidR="00CF112F" w:rsidRPr="00F7781E">
        <w:rPr>
          <w:rFonts w:asciiTheme="minorEastAsia" w:hAnsiTheme="minorEastAsia" w:hint="eastAsia"/>
          <w:sz w:val="24"/>
          <w:szCs w:val="24"/>
        </w:rPr>
        <w:t>配备</w:t>
      </w:r>
      <w:r w:rsidR="00727E19" w:rsidRPr="00F7781E">
        <w:rPr>
          <w:rFonts w:asciiTheme="minorEastAsia" w:hAnsiTheme="minorEastAsia" w:hint="eastAsia"/>
          <w:sz w:val="24"/>
          <w:szCs w:val="24"/>
        </w:rPr>
        <w:t>工作人员两名，</w:t>
      </w:r>
      <w:r w:rsidR="002B0FDC">
        <w:rPr>
          <w:rFonts w:asciiTheme="minorEastAsia" w:hAnsiTheme="minorEastAsia" w:hint="eastAsia"/>
          <w:sz w:val="24"/>
          <w:szCs w:val="24"/>
        </w:rPr>
        <w:t>要求具有电工操作证</w:t>
      </w:r>
      <w:r w:rsidR="00CF112F" w:rsidRPr="00F7781E">
        <w:rPr>
          <w:rFonts w:asciiTheme="minorEastAsia" w:hAnsiTheme="minorEastAsia" w:hint="eastAsia"/>
          <w:sz w:val="24"/>
          <w:szCs w:val="24"/>
        </w:rPr>
        <w:t>。配备车辆一部</w:t>
      </w:r>
      <w:r w:rsidR="00727E19" w:rsidRPr="00F7781E">
        <w:rPr>
          <w:rFonts w:asciiTheme="minorEastAsia" w:hAnsiTheme="minorEastAsia" w:hint="eastAsia"/>
          <w:sz w:val="24"/>
          <w:szCs w:val="24"/>
        </w:rPr>
        <w:t>；</w:t>
      </w:r>
    </w:p>
    <w:p w:rsidR="00CF112F"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w:t>
      </w:r>
      <w:r w:rsidR="0045132B">
        <w:rPr>
          <w:rFonts w:asciiTheme="minorEastAsia" w:hAnsiTheme="minorEastAsia" w:hint="eastAsia"/>
          <w:sz w:val="24"/>
          <w:szCs w:val="24"/>
        </w:rPr>
        <w:t>2</w:t>
      </w:r>
      <w:r>
        <w:rPr>
          <w:rFonts w:asciiTheme="minorEastAsia" w:hAnsiTheme="minorEastAsia" w:hint="eastAsia"/>
          <w:sz w:val="24"/>
          <w:szCs w:val="24"/>
        </w:rPr>
        <w:t>）</w:t>
      </w:r>
      <w:r w:rsidR="00CF112F" w:rsidRPr="00F7781E">
        <w:rPr>
          <w:rFonts w:asciiTheme="minorEastAsia" w:hAnsiTheme="minorEastAsia" w:hint="eastAsia"/>
          <w:sz w:val="24"/>
          <w:szCs w:val="24"/>
        </w:rPr>
        <w:t>中标人需要明确一名项目负责人负责现场维保工作，中标人需为所有维保人员购买不少于</w:t>
      </w:r>
      <w:r w:rsidR="00CF112F" w:rsidRPr="00F7781E">
        <w:rPr>
          <w:rFonts w:asciiTheme="minorEastAsia" w:hAnsiTheme="minorEastAsia"/>
          <w:sz w:val="24"/>
          <w:szCs w:val="24"/>
        </w:rPr>
        <w:t>1</w:t>
      </w:r>
      <w:r w:rsidR="00CF112F" w:rsidRPr="00F7781E">
        <w:rPr>
          <w:rFonts w:asciiTheme="minorEastAsia" w:hAnsiTheme="minorEastAsia" w:hint="eastAsia"/>
          <w:sz w:val="24"/>
          <w:szCs w:val="24"/>
        </w:rPr>
        <w:t>5</w:t>
      </w:r>
      <w:r w:rsidR="00CF112F" w:rsidRPr="00F7781E">
        <w:rPr>
          <w:rFonts w:asciiTheme="minorEastAsia" w:hAnsiTheme="minorEastAsia"/>
          <w:sz w:val="24"/>
          <w:szCs w:val="24"/>
        </w:rPr>
        <w:t>0</w:t>
      </w:r>
      <w:r w:rsidR="00CF112F" w:rsidRPr="00F7781E">
        <w:rPr>
          <w:rFonts w:asciiTheme="minorEastAsia" w:hAnsiTheme="minorEastAsia" w:hint="eastAsia"/>
          <w:sz w:val="24"/>
          <w:szCs w:val="24"/>
        </w:rPr>
        <w:t>万元人身意外伤害保险，</w:t>
      </w:r>
      <w:r w:rsidR="00747556" w:rsidRPr="00F7781E">
        <w:rPr>
          <w:rFonts w:asciiTheme="minorEastAsia" w:hAnsiTheme="minorEastAsia" w:hint="eastAsia"/>
          <w:sz w:val="24"/>
          <w:szCs w:val="24"/>
        </w:rPr>
        <w:t>维保</w:t>
      </w:r>
      <w:r w:rsidR="00CF112F" w:rsidRPr="00F7781E">
        <w:rPr>
          <w:rFonts w:asciiTheme="minorEastAsia" w:hAnsiTheme="minorEastAsia" w:hint="eastAsia"/>
          <w:sz w:val="24"/>
          <w:szCs w:val="24"/>
        </w:rPr>
        <w:t>人员需要持证上岗、统一着装并配备齐全安全防护用具；</w:t>
      </w:r>
    </w:p>
    <w:p w:rsidR="00CF112F"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w:t>
      </w:r>
      <w:r w:rsidR="0045132B">
        <w:rPr>
          <w:rFonts w:asciiTheme="minorEastAsia" w:hAnsiTheme="minorEastAsia" w:hint="eastAsia"/>
          <w:sz w:val="24"/>
          <w:szCs w:val="24"/>
        </w:rPr>
        <w:t>3</w:t>
      </w:r>
      <w:r>
        <w:rPr>
          <w:rFonts w:asciiTheme="minorEastAsia" w:hAnsiTheme="minorEastAsia" w:hint="eastAsia"/>
          <w:sz w:val="24"/>
          <w:szCs w:val="24"/>
        </w:rPr>
        <w:t>）</w:t>
      </w:r>
      <w:r w:rsidR="00CF112F" w:rsidRPr="00F7781E">
        <w:rPr>
          <w:rFonts w:asciiTheme="minorEastAsia" w:hAnsiTheme="minorEastAsia" w:hint="eastAsia"/>
          <w:sz w:val="24"/>
          <w:szCs w:val="24"/>
        </w:rPr>
        <w:t>中标人须与招标人签订安全协议，中标人在</w:t>
      </w:r>
      <w:r w:rsidR="0045132B">
        <w:rPr>
          <w:rFonts w:asciiTheme="minorEastAsia" w:hAnsiTheme="minorEastAsia" w:hint="eastAsia"/>
          <w:sz w:val="24"/>
          <w:szCs w:val="24"/>
        </w:rPr>
        <w:t>维保期间</w:t>
      </w:r>
      <w:r w:rsidR="00CF112F" w:rsidRPr="00F7781E">
        <w:rPr>
          <w:rFonts w:asciiTheme="minorEastAsia" w:hAnsiTheme="minorEastAsia" w:hint="eastAsia"/>
          <w:sz w:val="24"/>
          <w:szCs w:val="24"/>
        </w:rPr>
        <w:t>出现的一切安全问题均由中标人自行承担；</w:t>
      </w:r>
    </w:p>
    <w:p w:rsidR="00CF112F" w:rsidRPr="00F7781E" w:rsidRDefault="00B64F6E" w:rsidP="00F7781E">
      <w:pPr>
        <w:spacing w:line="360" w:lineRule="auto"/>
        <w:rPr>
          <w:rFonts w:asciiTheme="minorEastAsia" w:hAnsiTheme="minorEastAsia"/>
          <w:sz w:val="24"/>
          <w:szCs w:val="24"/>
        </w:rPr>
      </w:pPr>
      <w:r>
        <w:rPr>
          <w:rFonts w:asciiTheme="minorEastAsia" w:hAnsiTheme="minorEastAsia" w:hint="eastAsia"/>
          <w:sz w:val="24"/>
          <w:szCs w:val="24"/>
        </w:rPr>
        <w:t>（</w:t>
      </w:r>
      <w:r w:rsidR="0045132B">
        <w:rPr>
          <w:rFonts w:asciiTheme="minorEastAsia" w:hAnsiTheme="minorEastAsia" w:hint="eastAsia"/>
          <w:sz w:val="24"/>
          <w:szCs w:val="24"/>
        </w:rPr>
        <w:t>4</w:t>
      </w:r>
      <w:r>
        <w:rPr>
          <w:rFonts w:asciiTheme="minorEastAsia" w:hAnsiTheme="minorEastAsia" w:hint="eastAsia"/>
          <w:sz w:val="24"/>
          <w:szCs w:val="24"/>
        </w:rPr>
        <w:t>）</w:t>
      </w:r>
      <w:r w:rsidR="00CF112F" w:rsidRPr="00F7781E">
        <w:rPr>
          <w:rFonts w:asciiTheme="minorEastAsia" w:hAnsiTheme="minorEastAsia" w:hint="eastAsia"/>
          <w:sz w:val="24"/>
          <w:szCs w:val="24"/>
        </w:rPr>
        <w:t>维修工作须由招标人</w:t>
      </w:r>
      <w:r w:rsidR="0045132B" w:rsidRPr="00F7781E">
        <w:rPr>
          <w:rFonts w:asciiTheme="minorEastAsia" w:hAnsiTheme="minorEastAsia" w:hint="eastAsia"/>
          <w:sz w:val="24"/>
          <w:szCs w:val="24"/>
        </w:rPr>
        <w:t>派单</w:t>
      </w:r>
      <w:r w:rsidR="00CF112F" w:rsidRPr="00F7781E">
        <w:rPr>
          <w:rFonts w:asciiTheme="minorEastAsia" w:hAnsiTheme="minorEastAsia" w:hint="eastAsia"/>
          <w:sz w:val="24"/>
          <w:szCs w:val="24"/>
        </w:rPr>
        <w:t>通知，中标人在接到招标人的通知派单后方可进行实施，严禁中标人擅自开展工作。</w:t>
      </w:r>
    </w:p>
    <w:p w:rsidR="00F7781E" w:rsidRDefault="00F678C6" w:rsidP="00F7781E">
      <w:pPr>
        <w:spacing w:line="360" w:lineRule="auto"/>
        <w:rPr>
          <w:rFonts w:asciiTheme="minorEastAsia" w:hAnsiTheme="minorEastAsia"/>
          <w:sz w:val="24"/>
          <w:szCs w:val="24"/>
        </w:rPr>
      </w:pPr>
      <w:r w:rsidRPr="005C5185">
        <w:rPr>
          <w:rFonts w:asciiTheme="minorEastAsia" w:hAnsiTheme="minorEastAsia" w:hint="eastAsia"/>
          <w:sz w:val="24"/>
          <w:szCs w:val="24"/>
        </w:rPr>
        <w:t>四．报价形式：</w:t>
      </w:r>
    </w:p>
    <w:p w:rsidR="00F678C6" w:rsidRPr="005C5185" w:rsidRDefault="00F7781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678C6">
        <w:rPr>
          <w:rFonts w:asciiTheme="minorEastAsia" w:hAnsiTheme="minorEastAsia" w:hint="eastAsia"/>
          <w:sz w:val="24"/>
          <w:szCs w:val="24"/>
        </w:rPr>
        <w:t>报价函以总价方式报价，总价包含</w:t>
      </w:r>
      <w:r w:rsidR="00F678C6" w:rsidRPr="00575CA0">
        <w:rPr>
          <w:rFonts w:asciiTheme="minorEastAsia" w:hAnsiTheme="minorEastAsia" w:hint="eastAsia"/>
          <w:sz w:val="24"/>
          <w:szCs w:val="24"/>
        </w:rPr>
        <w:t>完成招标人要求的工作范围内各项工作量所产生的全部费用，包括人工费、管理费、人员保险费、增值税专用发票税金和其它一切费用等，不包括材料费。</w:t>
      </w:r>
    </w:p>
    <w:p w:rsidR="00F7781E" w:rsidRDefault="00F678C6" w:rsidP="00F7781E">
      <w:pPr>
        <w:spacing w:line="360" w:lineRule="auto"/>
        <w:rPr>
          <w:rFonts w:asciiTheme="minorEastAsia" w:hAnsiTheme="minorEastAsia"/>
          <w:sz w:val="24"/>
          <w:szCs w:val="24"/>
        </w:rPr>
      </w:pPr>
      <w:r w:rsidRPr="005C5185">
        <w:rPr>
          <w:rFonts w:asciiTheme="minorEastAsia" w:hAnsiTheme="minorEastAsia" w:hint="eastAsia"/>
          <w:sz w:val="24"/>
          <w:szCs w:val="24"/>
        </w:rPr>
        <w:t>五．结算方式：</w:t>
      </w:r>
    </w:p>
    <w:p w:rsidR="00F678C6" w:rsidRPr="005C5185" w:rsidRDefault="00F7781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F678C6" w:rsidRPr="005C5185">
        <w:rPr>
          <w:rFonts w:asciiTheme="minorEastAsia" w:hAnsiTheme="minorEastAsia" w:hint="eastAsia"/>
          <w:sz w:val="24"/>
          <w:szCs w:val="24"/>
        </w:rPr>
        <w:t>固定</w:t>
      </w:r>
      <w:r w:rsidR="00F678C6">
        <w:rPr>
          <w:rFonts w:asciiTheme="minorEastAsia" w:hAnsiTheme="minorEastAsia" w:hint="eastAsia"/>
          <w:sz w:val="24"/>
          <w:szCs w:val="24"/>
        </w:rPr>
        <w:t>总价。</w:t>
      </w:r>
    </w:p>
    <w:p w:rsidR="00F7781E" w:rsidRDefault="00F678C6" w:rsidP="00F7781E">
      <w:pPr>
        <w:spacing w:line="360" w:lineRule="auto"/>
        <w:rPr>
          <w:rFonts w:asciiTheme="minorEastAsia" w:hAnsiTheme="minorEastAsia"/>
          <w:sz w:val="24"/>
          <w:szCs w:val="24"/>
        </w:rPr>
      </w:pPr>
      <w:r w:rsidRPr="005C5185">
        <w:rPr>
          <w:rFonts w:asciiTheme="minorEastAsia" w:hAnsiTheme="minorEastAsia" w:hint="eastAsia"/>
          <w:sz w:val="24"/>
          <w:szCs w:val="24"/>
        </w:rPr>
        <w:t>六．</w:t>
      </w:r>
      <w:r>
        <w:rPr>
          <w:rFonts w:asciiTheme="minorEastAsia" w:hAnsiTheme="minorEastAsia" w:hint="eastAsia"/>
          <w:sz w:val="24"/>
          <w:szCs w:val="24"/>
        </w:rPr>
        <w:t>支付方式</w:t>
      </w:r>
      <w:r w:rsidRPr="005C5185">
        <w:rPr>
          <w:rFonts w:asciiTheme="minorEastAsia" w:hAnsiTheme="minorEastAsia" w:hint="eastAsia"/>
          <w:sz w:val="24"/>
          <w:szCs w:val="24"/>
        </w:rPr>
        <w:t>：</w:t>
      </w:r>
    </w:p>
    <w:p w:rsidR="00F678C6" w:rsidRDefault="00F7781E" w:rsidP="00F7781E">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575CA0" w:rsidRPr="00575CA0">
        <w:rPr>
          <w:rFonts w:asciiTheme="minorEastAsia" w:hAnsiTheme="minorEastAsia" w:hint="eastAsia"/>
          <w:sz w:val="24"/>
          <w:szCs w:val="24"/>
        </w:rPr>
        <w:t>乙方的</w:t>
      </w:r>
      <w:r w:rsidR="00575CA0">
        <w:rPr>
          <w:rFonts w:asciiTheme="minorEastAsia" w:hAnsiTheme="minorEastAsia" w:hint="eastAsia"/>
          <w:sz w:val="24"/>
          <w:szCs w:val="24"/>
        </w:rPr>
        <w:t>维保</w:t>
      </w:r>
      <w:r w:rsidR="00575CA0" w:rsidRPr="00575CA0">
        <w:rPr>
          <w:rFonts w:asciiTheme="minorEastAsia" w:hAnsiTheme="minorEastAsia" w:hint="eastAsia"/>
          <w:sz w:val="24"/>
          <w:szCs w:val="24"/>
        </w:rPr>
        <w:t>承包费用，由</w:t>
      </w:r>
      <w:r w:rsidR="00575CA0">
        <w:rPr>
          <w:rFonts w:asciiTheme="minorEastAsia" w:hAnsiTheme="minorEastAsia" w:hint="eastAsia"/>
          <w:sz w:val="24"/>
          <w:szCs w:val="24"/>
        </w:rPr>
        <w:t>招标人</w:t>
      </w:r>
      <w:r w:rsidR="00575CA0" w:rsidRPr="00575CA0">
        <w:rPr>
          <w:rFonts w:asciiTheme="minorEastAsia" w:hAnsiTheme="minorEastAsia" w:hint="eastAsia"/>
          <w:sz w:val="24"/>
          <w:szCs w:val="24"/>
        </w:rPr>
        <w:t>按时间节点对其维保工作完成的工作量进行验收后支付</w:t>
      </w:r>
      <w:r w:rsidR="00575CA0">
        <w:rPr>
          <w:rFonts w:asciiTheme="minorEastAsia" w:hAnsiTheme="minorEastAsia" w:hint="eastAsia"/>
          <w:sz w:val="24"/>
          <w:szCs w:val="24"/>
        </w:rPr>
        <w:t>。</w:t>
      </w:r>
      <w:r w:rsidR="00575CA0" w:rsidRPr="00575CA0">
        <w:rPr>
          <w:rFonts w:asciiTheme="minorEastAsia" w:hAnsiTheme="minorEastAsia" w:hint="eastAsia"/>
          <w:sz w:val="24"/>
          <w:szCs w:val="24"/>
        </w:rPr>
        <w:t>因维修所需的材料存在不确定性，材料的购买按照公司《泵站设备设施维修管理办法》中规定条款执行</w:t>
      </w:r>
      <w:r w:rsidR="00575CA0">
        <w:rPr>
          <w:rFonts w:asciiTheme="minorEastAsia" w:hAnsiTheme="minorEastAsia"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3895"/>
        <w:gridCol w:w="2887"/>
      </w:tblGrid>
      <w:tr w:rsidR="00575CA0" w:rsidTr="00DC3BEC">
        <w:trPr>
          <w:jc w:val="center"/>
        </w:trPr>
        <w:tc>
          <w:tcPr>
            <w:tcW w:w="1021" w:type="pct"/>
            <w:vAlign w:val="center"/>
          </w:tcPr>
          <w:p w:rsidR="00575CA0" w:rsidRDefault="00575CA0" w:rsidP="00DC3BEC">
            <w:pPr>
              <w:pStyle w:val="a6"/>
              <w:snapToGrid w:val="0"/>
              <w:jc w:val="center"/>
              <w:rPr>
                <w:rFonts w:hAnsi="宋体" w:cs="宋体"/>
                <w:sz w:val="21"/>
              </w:rPr>
            </w:pPr>
            <w:r>
              <w:rPr>
                <w:rFonts w:hAnsi="宋体" w:cs="宋体" w:hint="eastAsia"/>
                <w:sz w:val="21"/>
              </w:rPr>
              <w:t>序号</w:t>
            </w:r>
          </w:p>
        </w:tc>
        <w:tc>
          <w:tcPr>
            <w:tcW w:w="2285" w:type="pct"/>
            <w:vAlign w:val="center"/>
          </w:tcPr>
          <w:p w:rsidR="00575CA0" w:rsidRDefault="00575CA0" w:rsidP="00DC3BEC">
            <w:pPr>
              <w:pStyle w:val="a6"/>
              <w:snapToGrid w:val="0"/>
              <w:jc w:val="center"/>
              <w:rPr>
                <w:rFonts w:hAnsi="宋体" w:cs="宋体"/>
                <w:sz w:val="21"/>
              </w:rPr>
            </w:pPr>
            <w:r>
              <w:rPr>
                <w:rFonts w:hAnsi="宋体" w:cs="宋体" w:hint="eastAsia"/>
                <w:sz w:val="21"/>
              </w:rPr>
              <w:t>时间节点</w:t>
            </w:r>
          </w:p>
        </w:tc>
        <w:tc>
          <w:tcPr>
            <w:tcW w:w="1694" w:type="pct"/>
            <w:vAlign w:val="center"/>
          </w:tcPr>
          <w:p w:rsidR="00575CA0" w:rsidRDefault="00575CA0" w:rsidP="00DC3BEC">
            <w:pPr>
              <w:pStyle w:val="a6"/>
              <w:snapToGrid w:val="0"/>
              <w:jc w:val="center"/>
              <w:rPr>
                <w:rFonts w:hAnsi="宋体" w:cs="宋体"/>
                <w:sz w:val="21"/>
              </w:rPr>
            </w:pPr>
            <w:r>
              <w:rPr>
                <w:rFonts w:hAnsi="宋体" w:cs="宋体" w:hint="eastAsia"/>
                <w:sz w:val="21"/>
              </w:rPr>
              <w:t>支付比例</w:t>
            </w:r>
          </w:p>
        </w:tc>
      </w:tr>
      <w:tr w:rsidR="00575CA0" w:rsidTr="00DC3BEC">
        <w:trPr>
          <w:jc w:val="center"/>
        </w:trPr>
        <w:tc>
          <w:tcPr>
            <w:tcW w:w="1021" w:type="pct"/>
            <w:vAlign w:val="center"/>
          </w:tcPr>
          <w:p w:rsidR="00575CA0" w:rsidRDefault="00575CA0" w:rsidP="00DC3BEC">
            <w:pPr>
              <w:pStyle w:val="a6"/>
              <w:snapToGrid w:val="0"/>
              <w:jc w:val="center"/>
              <w:rPr>
                <w:rFonts w:hAnsi="宋体" w:cs="宋体"/>
                <w:sz w:val="21"/>
              </w:rPr>
            </w:pPr>
            <w:r>
              <w:rPr>
                <w:rFonts w:hAnsi="宋体" w:cs="宋体" w:hint="eastAsia"/>
                <w:sz w:val="21"/>
              </w:rPr>
              <w:t>1</w:t>
            </w:r>
          </w:p>
        </w:tc>
        <w:tc>
          <w:tcPr>
            <w:tcW w:w="2285" w:type="pct"/>
            <w:vAlign w:val="center"/>
          </w:tcPr>
          <w:p w:rsidR="00575CA0" w:rsidRDefault="00575CA0" w:rsidP="00575CA0">
            <w:pPr>
              <w:pStyle w:val="a6"/>
              <w:snapToGrid w:val="0"/>
              <w:jc w:val="center"/>
              <w:rPr>
                <w:rFonts w:hAnsi="宋体" w:cs="宋体"/>
                <w:sz w:val="21"/>
              </w:rPr>
            </w:pPr>
            <w:r>
              <w:rPr>
                <w:rFonts w:hAnsi="宋体" w:cs="宋体" w:hint="eastAsia"/>
                <w:sz w:val="21"/>
              </w:rPr>
              <w:t>2022年6月</w:t>
            </w:r>
          </w:p>
        </w:tc>
        <w:tc>
          <w:tcPr>
            <w:tcW w:w="1694" w:type="pct"/>
            <w:vAlign w:val="center"/>
          </w:tcPr>
          <w:p w:rsidR="00575CA0" w:rsidRDefault="00575CA0" w:rsidP="00DC3BEC">
            <w:pPr>
              <w:pStyle w:val="a6"/>
              <w:snapToGrid w:val="0"/>
              <w:jc w:val="center"/>
              <w:rPr>
                <w:rFonts w:hAnsi="宋体" w:cs="宋体"/>
                <w:sz w:val="21"/>
              </w:rPr>
            </w:pPr>
            <w:r>
              <w:rPr>
                <w:rFonts w:hAnsi="宋体" w:cs="宋体" w:hint="eastAsia"/>
                <w:sz w:val="21"/>
              </w:rPr>
              <w:t>50%</w:t>
            </w:r>
          </w:p>
        </w:tc>
      </w:tr>
      <w:tr w:rsidR="00575CA0" w:rsidTr="00DC3BEC">
        <w:trPr>
          <w:jc w:val="center"/>
        </w:trPr>
        <w:tc>
          <w:tcPr>
            <w:tcW w:w="1021" w:type="pct"/>
            <w:vAlign w:val="center"/>
          </w:tcPr>
          <w:p w:rsidR="00575CA0" w:rsidRDefault="00575CA0" w:rsidP="00DC3BEC">
            <w:pPr>
              <w:pStyle w:val="a6"/>
              <w:snapToGrid w:val="0"/>
              <w:jc w:val="center"/>
              <w:rPr>
                <w:rFonts w:hAnsi="宋体" w:cs="宋体"/>
                <w:sz w:val="21"/>
              </w:rPr>
            </w:pPr>
            <w:r>
              <w:rPr>
                <w:rFonts w:hAnsi="宋体" w:cs="宋体" w:hint="eastAsia"/>
                <w:sz w:val="21"/>
              </w:rPr>
              <w:t>2</w:t>
            </w:r>
          </w:p>
        </w:tc>
        <w:tc>
          <w:tcPr>
            <w:tcW w:w="2285" w:type="pct"/>
            <w:vAlign w:val="center"/>
          </w:tcPr>
          <w:p w:rsidR="00575CA0" w:rsidRDefault="00575CA0" w:rsidP="00575CA0">
            <w:pPr>
              <w:pStyle w:val="a6"/>
              <w:snapToGrid w:val="0"/>
              <w:jc w:val="center"/>
              <w:rPr>
                <w:rFonts w:hAnsi="宋体" w:cs="宋体"/>
                <w:sz w:val="21"/>
              </w:rPr>
            </w:pPr>
            <w:r>
              <w:rPr>
                <w:rFonts w:hAnsi="宋体" w:cs="宋体" w:hint="eastAsia"/>
                <w:sz w:val="21"/>
              </w:rPr>
              <w:t>2022年12月</w:t>
            </w:r>
          </w:p>
        </w:tc>
        <w:tc>
          <w:tcPr>
            <w:tcW w:w="1694" w:type="pct"/>
            <w:vAlign w:val="center"/>
          </w:tcPr>
          <w:p w:rsidR="00575CA0" w:rsidRDefault="00575CA0" w:rsidP="00DC3BEC">
            <w:pPr>
              <w:pStyle w:val="a6"/>
              <w:snapToGrid w:val="0"/>
              <w:jc w:val="center"/>
              <w:rPr>
                <w:rFonts w:hAnsi="宋体" w:cs="宋体"/>
                <w:sz w:val="21"/>
              </w:rPr>
            </w:pPr>
            <w:r>
              <w:rPr>
                <w:rFonts w:hAnsi="宋体" w:cs="宋体" w:hint="eastAsia"/>
                <w:sz w:val="21"/>
              </w:rPr>
              <w:t>50%</w:t>
            </w:r>
          </w:p>
        </w:tc>
      </w:tr>
    </w:tbl>
    <w:p w:rsidR="00F7781E" w:rsidRDefault="00F678C6" w:rsidP="00F7781E">
      <w:pPr>
        <w:autoSpaceDE w:val="0"/>
        <w:autoSpaceDN w:val="0"/>
        <w:adjustRightInd w:val="0"/>
        <w:spacing w:line="360" w:lineRule="auto"/>
        <w:rPr>
          <w:rFonts w:asciiTheme="minorEastAsia" w:hAnsiTheme="minorEastAsia"/>
          <w:sz w:val="24"/>
          <w:szCs w:val="24"/>
        </w:rPr>
      </w:pPr>
      <w:r w:rsidRPr="005C5185">
        <w:rPr>
          <w:rFonts w:asciiTheme="minorEastAsia" w:hAnsiTheme="minorEastAsia" w:hint="eastAsia"/>
          <w:sz w:val="24"/>
          <w:szCs w:val="24"/>
        </w:rPr>
        <w:t>七．评标、中标：</w:t>
      </w:r>
    </w:p>
    <w:p w:rsidR="00C816BE" w:rsidRPr="00F7781E" w:rsidRDefault="00575CA0" w:rsidP="00F7781E">
      <w:pPr>
        <w:autoSpaceDE w:val="0"/>
        <w:autoSpaceDN w:val="0"/>
        <w:adjustRightInd w:val="0"/>
        <w:spacing w:line="360" w:lineRule="auto"/>
        <w:ind w:firstLineChars="200" w:firstLine="480"/>
        <w:rPr>
          <w:rFonts w:ascii="宋体" w:hAnsi="宋体" w:cs="宋体"/>
        </w:rPr>
      </w:pPr>
      <w:r>
        <w:rPr>
          <w:rFonts w:asciiTheme="minorEastAsia" w:hAnsiTheme="minorEastAsia" w:hint="eastAsia"/>
          <w:sz w:val="24"/>
          <w:szCs w:val="24"/>
        </w:rPr>
        <w:t>由招标人组织</w:t>
      </w:r>
      <w:r w:rsidR="00F678C6" w:rsidRPr="005C5185">
        <w:rPr>
          <w:rFonts w:asciiTheme="minorEastAsia" w:hAnsiTheme="minorEastAsia" w:hint="eastAsia"/>
          <w:sz w:val="24"/>
          <w:szCs w:val="24"/>
        </w:rPr>
        <w:t>评标小组负责评标，确定</w:t>
      </w:r>
      <w:r w:rsidR="00C57AB0">
        <w:rPr>
          <w:rFonts w:asciiTheme="minorEastAsia" w:hAnsiTheme="minorEastAsia" w:hint="eastAsia"/>
          <w:sz w:val="24"/>
          <w:szCs w:val="24"/>
        </w:rPr>
        <w:t>评分最高者</w:t>
      </w:r>
      <w:r w:rsidR="00C57AB0" w:rsidRPr="005C5185">
        <w:rPr>
          <w:rFonts w:asciiTheme="minorEastAsia" w:hAnsiTheme="minorEastAsia" w:hint="eastAsia"/>
          <w:sz w:val="24"/>
          <w:szCs w:val="24"/>
        </w:rPr>
        <w:t>中标</w:t>
      </w:r>
      <w:r w:rsidR="00C57AB0">
        <w:rPr>
          <w:rFonts w:asciiTheme="minorEastAsia" w:hAnsiTheme="minorEastAsia" w:hint="eastAsia"/>
          <w:sz w:val="24"/>
          <w:szCs w:val="24"/>
        </w:rPr>
        <w:t>。中标原则：</w:t>
      </w:r>
      <w:r>
        <w:rPr>
          <w:rFonts w:asciiTheme="minorEastAsia" w:hAnsiTheme="minorEastAsia" w:hint="eastAsia"/>
          <w:sz w:val="24"/>
          <w:szCs w:val="24"/>
        </w:rPr>
        <w:t>合理</w:t>
      </w:r>
      <w:r w:rsidR="00F678C6" w:rsidRPr="005C5185">
        <w:rPr>
          <w:rFonts w:asciiTheme="minorEastAsia" w:hAnsiTheme="minorEastAsia" w:hint="eastAsia"/>
          <w:sz w:val="24"/>
          <w:szCs w:val="24"/>
        </w:rPr>
        <w:t>低</w:t>
      </w:r>
      <w:r w:rsidR="00F678C6" w:rsidRPr="005C5185">
        <w:rPr>
          <w:rFonts w:asciiTheme="minorEastAsia" w:hAnsiTheme="minorEastAsia" w:hint="eastAsia"/>
          <w:sz w:val="24"/>
          <w:szCs w:val="24"/>
        </w:rPr>
        <w:lastRenderedPageBreak/>
        <w:t>价</w:t>
      </w:r>
      <w:r>
        <w:rPr>
          <w:rFonts w:asciiTheme="minorEastAsia" w:hAnsiTheme="minorEastAsia" w:hint="eastAsia"/>
          <w:sz w:val="24"/>
          <w:szCs w:val="24"/>
        </w:rPr>
        <w:t>（</w:t>
      </w:r>
      <w:r w:rsidR="00C57AB0">
        <w:rPr>
          <w:rFonts w:ascii="宋体" w:hAnsi="宋体" w:cs="宋体" w:hint="eastAsia"/>
        </w:rPr>
        <w:t>当有效投标人＜5家时，取所有有效投标人评标价的算术平均值A下浮3%作为评标基准价,评标基准价=A*0.97；当有效投标人≥5家时，去掉一个最高价和一个最低价，其余所有有效投标人评标价的算术平均值下浮3%作为评标基准价，评标基准价=A*0.97；价格分满分为</w:t>
      </w:r>
      <w:r w:rsidR="00F30B31">
        <w:rPr>
          <w:rFonts w:ascii="宋体" w:hAnsi="宋体" w:cs="宋体" w:hint="eastAsia"/>
        </w:rPr>
        <w:t>100</w:t>
      </w:r>
      <w:r w:rsidR="00C57AB0">
        <w:rPr>
          <w:rFonts w:ascii="宋体" w:hAnsi="宋体" w:cs="宋体" w:hint="eastAsia"/>
        </w:rPr>
        <w:t>分，投标报价与基准价相比的偏差率，每高于评标基准价1%扣0.9分，每低于评标基准价1%扣0.6分，不足1%按插入法计算。</w:t>
      </w:r>
      <w:r>
        <w:rPr>
          <w:rFonts w:asciiTheme="minorEastAsia" w:hAnsiTheme="minorEastAsia" w:hint="eastAsia"/>
          <w:sz w:val="24"/>
          <w:szCs w:val="24"/>
        </w:rPr>
        <w:t>）</w:t>
      </w:r>
      <w:r w:rsidR="00F678C6" w:rsidRPr="005C5185">
        <w:rPr>
          <w:rFonts w:asciiTheme="minorEastAsia" w:hAnsiTheme="minorEastAsia" w:hint="eastAsia"/>
          <w:sz w:val="24"/>
          <w:szCs w:val="24"/>
        </w:rPr>
        <w:t>。</w:t>
      </w:r>
      <w:r w:rsidR="00F7781E">
        <w:rPr>
          <w:rFonts w:asciiTheme="minorEastAsia" w:hAnsiTheme="minorEastAsia"/>
          <w:sz w:val="24"/>
          <w:szCs w:val="24"/>
        </w:rPr>
        <w:br/>
      </w:r>
      <w:r w:rsidR="00F7781E">
        <w:rPr>
          <w:rFonts w:asciiTheme="minorEastAsia" w:hAnsiTheme="minorEastAsia" w:hint="eastAsia"/>
          <w:sz w:val="24"/>
          <w:szCs w:val="24"/>
        </w:rPr>
        <w:t>八</w:t>
      </w:r>
      <w:r w:rsidR="00F678C6" w:rsidRPr="005C5185">
        <w:rPr>
          <w:rFonts w:asciiTheme="minorEastAsia" w:hAnsiTheme="minorEastAsia" w:hint="eastAsia"/>
          <w:sz w:val="24"/>
          <w:szCs w:val="24"/>
        </w:rPr>
        <w:t>.</w:t>
      </w:r>
      <w:r w:rsidR="00D160CB">
        <w:rPr>
          <w:rFonts w:asciiTheme="minorEastAsia" w:hAnsiTheme="minorEastAsia" w:hint="eastAsia"/>
          <w:sz w:val="24"/>
          <w:szCs w:val="24"/>
        </w:rPr>
        <w:t xml:space="preserve"> </w:t>
      </w:r>
      <w:r w:rsidR="00F678C6" w:rsidRPr="005C5185">
        <w:rPr>
          <w:rFonts w:asciiTheme="minorEastAsia" w:hAnsiTheme="minorEastAsia"/>
          <w:sz w:val="24"/>
          <w:szCs w:val="24"/>
        </w:rPr>
        <w:t>报价文件递交截止时间、地点</w:t>
      </w:r>
      <w:r w:rsidR="00F678C6" w:rsidRPr="005C5185">
        <w:rPr>
          <w:rFonts w:asciiTheme="minorEastAsia" w:hAnsiTheme="minorEastAsia"/>
          <w:sz w:val="24"/>
          <w:szCs w:val="24"/>
        </w:rPr>
        <w:br/>
      </w:r>
      <w:r w:rsidR="00F7781E">
        <w:rPr>
          <w:rFonts w:asciiTheme="minorEastAsia" w:hAnsiTheme="minorEastAsia" w:hint="eastAsia"/>
          <w:sz w:val="24"/>
          <w:szCs w:val="24"/>
        </w:rPr>
        <w:t xml:space="preserve">    </w:t>
      </w:r>
      <w:r w:rsidR="00F678C6" w:rsidRPr="005C5185">
        <w:rPr>
          <w:rFonts w:asciiTheme="minorEastAsia" w:hAnsiTheme="minorEastAsia"/>
          <w:sz w:val="24"/>
          <w:szCs w:val="24"/>
        </w:rPr>
        <w:t>20</w:t>
      </w:r>
      <w:r w:rsidR="00F678C6" w:rsidRPr="005C5185">
        <w:rPr>
          <w:rFonts w:asciiTheme="minorEastAsia" w:hAnsiTheme="minorEastAsia" w:hint="eastAsia"/>
          <w:sz w:val="24"/>
          <w:szCs w:val="24"/>
        </w:rPr>
        <w:t>21</w:t>
      </w:r>
      <w:r w:rsidR="00F678C6" w:rsidRPr="005C5185">
        <w:rPr>
          <w:rFonts w:asciiTheme="minorEastAsia" w:hAnsiTheme="minorEastAsia"/>
          <w:sz w:val="24"/>
          <w:szCs w:val="24"/>
        </w:rPr>
        <w:t>年</w:t>
      </w:r>
      <w:r w:rsidR="00F7781E">
        <w:rPr>
          <w:rFonts w:asciiTheme="minorEastAsia" w:hAnsiTheme="minorEastAsia" w:hint="eastAsia"/>
          <w:sz w:val="24"/>
          <w:szCs w:val="24"/>
        </w:rPr>
        <w:t>12</w:t>
      </w:r>
      <w:r w:rsidR="00F678C6" w:rsidRPr="005C5185">
        <w:rPr>
          <w:rFonts w:asciiTheme="minorEastAsia" w:hAnsiTheme="minorEastAsia"/>
          <w:sz w:val="24"/>
          <w:szCs w:val="24"/>
        </w:rPr>
        <w:t>月</w:t>
      </w:r>
      <w:bookmarkStart w:id="0" w:name="_GoBack"/>
      <w:bookmarkEnd w:id="0"/>
      <w:r w:rsidR="009A02AE">
        <w:rPr>
          <w:rFonts w:asciiTheme="minorEastAsia" w:hAnsiTheme="minorEastAsia" w:hint="eastAsia"/>
          <w:sz w:val="24"/>
          <w:szCs w:val="24"/>
        </w:rPr>
        <w:t>31</w:t>
      </w:r>
      <w:r w:rsidR="00F678C6" w:rsidRPr="005C5185">
        <w:rPr>
          <w:rFonts w:asciiTheme="minorEastAsia" w:hAnsiTheme="minorEastAsia"/>
          <w:sz w:val="24"/>
          <w:szCs w:val="24"/>
        </w:rPr>
        <w:t>日</w:t>
      </w:r>
      <w:r w:rsidR="00F7781E">
        <w:rPr>
          <w:rFonts w:asciiTheme="minorEastAsia" w:hAnsiTheme="minorEastAsia" w:hint="eastAsia"/>
          <w:sz w:val="24"/>
          <w:szCs w:val="24"/>
        </w:rPr>
        <w:t>上午10</w:t>
      </w:r>
      <w:r w:rsidR="00F678C6" w:rsidRPr="005C5185">
        <w:rPr>
          <w:rFonts w:asciiTheme="minorEastAsia" w:hAnsiTheme="minorEastAsia" w:hint="eastAsia"/>
          <w:sz w:val="24"/>
          <w:szCs w:val="24"/>
        </w:rPr>
        <w:t>点</w:t>
      </w:r>
      <w:r w:rsidR="00F678C6" w:rsidRPr="005C5185">
        <w:rPr>
          <w:rFonts w:asciiTheme="minorEastAsia" w:hAnsiTheme="minorEastAsia"/>
          <w:sz w:val="24"/>
          <w:szCs w:val="24"/>
        </w:rPr>
        <w:t>前，邮寄或书面送达：地址为江苏省扬州市广陵区汤汪乡汤汪路</w:t>
      </w:r>
      <w:r w:rsidR="00F678C6" w:rsidRPr="005C5185">
        <w:rPr>
          <w:rFonts w:asciiTheme="minorEastAsia" w:hAnsiTheme="minorEastAsia" w:hint="eastAsia"/>
          <w:sz w:val="24"/>
          <w:szCs w:val="24"/>
        </w:rPr>
        <w:t>183号</w:t>
      </w:r>
      <w:r w:rsidR="00F678C6" w:rsidRPr="005C5185">
        <w:rPr>
          <w:rFonts w:asciiTheme="minorEastAsia" w:hAnsiTheme="minorEastAsia"/>
          <w:sz w:val="24"/>
          <w:szCs w:val="24"/>
        </w:rPr>
        <w:t>，（</w:t>
      </w:r>
      <w:r w:rsidR="00F678C6" w:rsidRPr="005C5185">
        <w:rPr>
          <w:rFonts w:asciiTheme="minorEastAsia" w:hAnsiTheme="minorEastAsia" w:hint="eastAsia"/>
          <w:sz w:val="24"/>
          <w:szCs w:val="24"/>
        </w:rPr>
        <w:t>扬州市政管网有限公司泵站管理中心</w:t>
      </w:r>
      <w:r w:rsidR="00F678C6" w:rsidRPr="005C5185">
        <w:rPr>
          <w:rFonts w:asciiTheme="minorEastAsia" w:hAnsiTheme="minorEastAsia"/>
          <w:sz w:val="24"/>
          <w:szCs w:val="24"/>
        </w:rPr>
        <w:t>） </w:t>
      </w:r>
      <w:r w:rsidR="00F678C6" w:rsidRPr="005C5185">
        <w:rPr>
          <w:rFonts w:asciiTheme="minorEastAsia" w:hAnsiTheme="minorEastAsia" w:hint="eastAsia"/>
          <w:sz w:val="24"/>
          <w:szCs w:val="24"/>
        </w:rPr>
        <w:t>联系电话：18936221128  联系人：陈迟</w:t>
      </w:r>
      <w:r w:rsidR="00F678C6" w:rsidRPr="005C5185">
        <w:rPr>
          <w:rFonts w:asciiTheme="minorEastAsia" w:hAnsiTheme="minorEastAsia"/>
          <w:sz w:val="24"/>
          <w:szCs w:val="24"/>
        </w:rPr>
        <w:t>邮编</w:t>
      </w:r>
      <w:r w:rsidR="00F678C6" w:rsidRPr="005C5185">
        <w:rPr>
          <w:rFonts w:asciiTheme="minorEastAsia" w:hAnsiTheme="minorEastAsia" w:hint="eastAsia"/>
          <w:sz w:val="24"/>
          <w:szCs w:val="24"/>
        </w:rPr>
        <w:t>：</w:t>
      </w:r>
      <w:r w:rsidR="00F678C6" w:rsidRPr="005C5185">
        <w:rPr>
          <w:rFonts w:asciiTheme="minorEastAsia" w:hAnsiTheme="minorEastAsia"/>
          <w:sz w:val="24"/>
          <w:szCs w:val="24"/>
        </w:rPr>
        <w:t>225000。</w:t>
      </w:r>
    </w:p>
    <w:sectPr w:rsidR="00C816BE" w:rsidRPr="00F7781E" w:rsidSect="006C40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B1" w:rsidRDefault="00173AB1" w:rsidP="00CC55B8">
      <w:r>
        <w:separator/>
      </w:r>
    </w:p>
  </w:endnote>
  <w:endnote w:type="continuationSeparator" w:id="1">
    <w:p w:rsidR="00173AB1" w:rsidRDefault="00173AB1" w:rsidP="00CC5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B1" w:rsidRDefault="00173AB1" w:rsidP="00CC55B8">
      <w:r>
        <w:separator/>
      </w:r>
    </w:p>
  </w:footnote>
  <w:footnote w:type="continuationSeparator" w:id="1">
    <w:p w:rsidR="00173AB1" w:rsidRDefault="00173AB1" w:rsidP="00CC5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5CFF1"/>
    <w:multiLevelType w:val="singleLevel"/>
    <w:tmpl w:val="A325CFF1"/>
    <w:lvl w:ilvl="0">
      <w:start w:val="1"/>
      <w:numFmt w:val="decimal"/>
      <w:suff w:val="nothing"/>
      <w:lvlText w:val="%1、"/>
      <w:lvlJc w:val="left"/>
    </w:lvl>
  </w:abstractNum>
  <w:abstractNum w:abstractNumId="1">
    <w:nsid w:val="FEB15056"/>
    <w:multiLevelType w:val="singleLevel"/>
    <w:tmpl w:val="FEB15056"/>
    <w:lvl w:ilvl="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5B8"/>
    <w:rsid w:val="00021E28"/>
    <w:rsid w:val="000461B9"/>
    <w:rsid w:val="00083893"/>
    <w:rsid w:val="001115D7"/>
    <w:rsid w:val="00112599"/>
    <w:rsid w:val="00145504"/>
    <w:rsid w:val="00173AB1"/>
    <w:rsid w:val="002171CB"/>
    <w:rsid w:val="002B0FDC"/>
    <w:rsid w:val="002C7306"/>
    <w:rsid w:val="00317276"/>
    <w:rsid w:val="0045132B"/>
    <w:rsid w:val="00575CA0"/>
    <w:rsid w:val="00586156"/>
    <w:rsid w:val="005E68C7"/>
    <w:rsid w:val="005F2422"/>
    <w:rsid w:val="006C400E"/>
    <w:rsid w:val="00727E19"/>
    <w:rsid w:val="00747556"/>
    <w:rsid w:val="007B3A80"/>
    <w:rsid w:val="007B7F05"/>
    <w:rsid w:val="009A02AE"/>
    <w:rsid w:val="00B64F6E"/>
    <w:rsid w:val="00C57AB0"/>
    <w:rsid w:val="00C816BE"/>
    <w:rsid w:val="00CC55B8"/>
    <w:rsid w:val="00CF112F"/>
    <w:rsid w:val="00D160CB"/>
    <w:rsid w:val="00DD0E3F"/>
    <w:rsid w:val="00F14FA5"/>
    <w:rsid w:val="00F2746E"/>
    <w:rsid w:val="00F30B31"/>
    <w:rsid w:val="00F4248A"/>
    <w:rsid w:val="00F678C6"/>
    <w:rsid w:val="00F7781E"/>
    <w:rsid w:val="00FF0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55B8"/>
    <w:rPr>
      <w:sz w:val="18"/>
      <w:szCs w:val="18"/>
    </w:rPr>
  </w:style>
  <w:style w:type="paragraph" w:styleId="a4">
    <w:name w:val="footer"/>
    <w:basedOn w:val="a"/>
    <w:link w:val="Char0"/>
    <w:uiPriority w:val="99"/>
    <w:semiHidden/>
    <w:unhideWhenUsed/>
    <w:rsid w:val="00CC5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55B8"/>
    <w:rPr>
      <w:sz w:val="18"/>
      <w:szCs w:val="18"/>
    </w:rPr>
  </w:style>
  <w:style w:type="paragraph" w:styleId="a5">
    <w:name w:val="Normal (Web)"/>
    <w:basedOn w:val="a"/>
    <w:uiPriority w:val="99"/>
    <w:unhideWhenUsed/>
    <w:rsid w:val="00727E19"/>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qFormat/>
    <w:rsid w:val="00575CA0"/>
    <w:rPr>
      <w:rFonts w:ascii="宋体" w:eastAsia="宋体" w:hAnsi="Courier New" w:cs="Times New Roman"/>
      <w:kern w:val="0"/>
      <w:sz w:val="20"/>
      <w:szCs w:val="21"/>
    </w:rPr>
  </w:style>
  <w:style w:type="character" w:customStyle="1" w:styleId="Char1">
    <w:name w:val="纯文本 Char"/>
    <w:basedOn w:val="a0"/>
    <w:link w:val="a6"/>
    <w:rsid w:val="00575CA0"/>
    <w:rPr>
      <w:rFonts w:ascii="宋体" w:eastAsia="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22</cp:revision>
  <dcterms:created xsi:type="dcterms:W3CDTF">2021-12-22T08:31:00Z</dcterms:created>
  <dcterms:modified xsi:type="dcterms:W3CDTF">2021-12-28T09:26:00Z</dcterms:modified>
</cp:coreProperties>
</file>